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80" w:rsidRDefault="006D761D" w:rsidP="00695E80">
      <w:pPr>
        <w:spacing w:line="360" w:lineRule="auto"/>
        <w:ind w:left="426" w:hanging="426"/>
        <w:rPr>
          <w:rFonts w:eastAsiaTheme="minorEastAsia"/>
          <w:szCs w:val="24"/>
          <w:lang w:val="en-US" w:eastAsia="ja-JP"/>
        </w:rPr>
      </w:pPr>
      <w:r>
        <w:rPr>
          <w:rFonts w:eastAsiaTheme="minorEastAsia"/>
          <w:szCs w:val="24"/>
          <w:lang w:val="en-US" w:eastAsia="ja-JP"/>
        </w:rPr>
        <w:t xml:space="preserve">     </w:t>
      </w:r>
      <w:r w:rsidR="00D33FAC" w:rsidRPr="00BE635B">
        <w:rPr>
          <w:rFonts w:eastAsiaTheme="minorEastAsia"/>
          <w:szCs w:val="24"/>
          <w:lang w:val="en-US" w:eastAsia="ja-JP"/>
        </w:rPr>
        <w:t xml:space="preserve"> </w:t>
      </w:r>
      <w:r w:rsidR="00695E80">
        <w:rPr>
          <w:rFonts w:eastAsiaTheme="minorEastAsia"/>
          <w:szCs w:val="24"/>
          <w:lang w:val="en-US" w:eastAsia="ja-JP"/>
        </w:rPr>
        <w:t xml:space="preserve">Carryover </w:t>
      </w:r>
      <w:r w:rsidR="000C30E0">
        <w:rPr>
          <w:rFonts w:eastAsiaTheme="minorEastAsia"/>
          <w:szCs w:val="24"/>
          <w:lang w:val="en-US" w:eastAsia="ja-JP"/>
        </w:rPr>
        <w:t>to 2014 and OTN Phase II budget</w:t>
      </w:r>
    </w:p>
    <w:p w:rsidR="00D33FAC" w:rsidRDefault="00BE635B" w:rsidP="000C30E0">
      <w:pPr>
        <w:spacing w:line="360" w:lineRule="auto"/>
        <w:ind w:left="426" w:hanging="66"/>
        <w:rPr>
          <w:rFonts w:eastAsiaTheme="minorEastAsia"/>
          <w:szCs w:val="24"/>
          <w:lang w:val="en-US" w:eastAsia="ja-JP"/>
        </w:rPr>
      </w:pPr>
      <w:r w:rsidRPr="00BE635B">
        <w:rPr>
          <w:rFonts w:eastAsiaTheme="minorEastAsia"/>
          <w:szCs w:val="24"/>
          <w:lang w:val="en-US" w:eastAsia="ja-JP"/>
        </w:rPr>
        <w:t>In</w:t>
      </w:r>
      <w:r w:rsidR="00D33FAC" w:rsidRPr="00BE635B">
        <w:rPr>
          <w:rFonts w:eastAsiaTheme="minorEastAsia"/>
          <w:szCs w:val="24"/>
          <w:lang w:val="en-US" w:eastAsia="ja-JP"/>
        </w:rPr>
        <w:t xml:space="preserve"> the absence of any responses for our previously submitted proposals and budgets, beginning with our statement</w:t>
      </w:r>
      <w:r w:rsidR="000228AD">
        <w:rPr>
          <w:rFonts w:eastAsiaTheme="minorEastAsia"/>
          <w:szCs w:val="24"/>
          <w:lang w:val="en-US" w:eastAsia="ja-JP"/>
        </w:rPr>
        <w:t xml:space="preserve"> of November 29, 2012, we wish </w:t>
      </w:r>
      <w:r w:rsidR="00D33FAC" w:rsidRPr="00BE635B">
        <w:rPr>
          <w:rFonts w:eastAsiaTheme="minorEastAsia"/>
          <w:szCs w:val="24"/>
          <w:lang w:val="en-US" w:eastAsia="ja-JP"/>
        </w:rPr>
        <w:t>to</w:t>
      </w:r>
      <w:r w:rsidR="00CD10B2" w:rsidRPr="00BE635B">
        <w:rPr>
          <w:rFonts w:eastAsiaTheme="minorEastAsia"/>
          <w:szCs w:val="24"/>
          <w:lang w:val="en-US" w:eastAsia="ja-JP"/>
        </w:rPr>
        <w:t xml:space="preserve"> propose in order of priority: A</w:t>
      </w:r>
      <w:r w:rsidR="00D33FAC" w:rsidRPr="00BE635B">
        <w:rPr>
          <w:rFonts w:eastAsiaTheme="minorEastAsia"/>
          <w:szCs w:val="24"/>
          <w:lang w:val="en-US" w:eastAsia="ja-JP"/>
        </w:rPr>
        <w:t>) our comparative project on Atlantic and Pacific sturgeon</w:t>
      </w:r>
      <w:r w:rsidR="00C64DE8">
        <w:rPr>
          <w:rFonts w:eastAsiaTheme="minorEastAsia"/>
          <w:szCs w:val="24"/>
          <w:lang w:val="en-US" w:eastAsia="ja-JP"/>
        </w:rPr>
        <w:t>;</w:t>
      </w:r>
      <w:r w:rsidR="00CD10B2" w:rsidRPr="00BE635B">
        <w:rPr>
          <w:rFonts w:eastAsiaTheme="minorEastAsia"/>
          <w:szCs w:val="24"/>
          <w:lang w:val="en-US" w:eastAsia="ja-JP"/>
        </w:rPr>
        <w:t xml:space="preserve"> and B</w:t>
      </w:r>
      <w:r w:rsidR="00D33FAC" w:rsidRPr="00BE635B">
        <w:rPr>
          <w:rFonts w:eastAsiaTheme="minorEastAsia"/>
          <w:szCs w:val="24"/>
          <w:lang w:val="en-US" w:eastAsia="ja-JP"/>
        </w:rPr>
        <w:t>) our sociology of knowledge project. Depending on the fund</w:t>
      </w:r>
      <w:r w:rsidR="00CD10B2" w:rsidRPr="00BE635B">
        <w:rPr>
          <w:rFonts w:eastAsiaTheme="minorEastAsia"/>
          <w:szCs w:val="24"/>
          <w:lang w:val="en-US" w:eastAsia="ja-JP"/>
        </w:rPr>
        <w:t>ing SAC can devote to this work, we will pursue the funded projects.</w:t>
      </w:r>
    </w:p>
    <w:p w:rsidR="00623998" w:rsidRPr="00BE635B" w:rsidRDefault="00623998" w:rsidP="000C30E0">
      <w:pPr>
        <w:spacing w:line="360" w:lineRule="auto"/>
        <w:ind w:left="426" w:hanging="66"/>
        <w:rPr>
          <w:rFonts w:eastAsiaTheme="minorEastAsia"/>
          <w:szCs w:val="24"/>
          <w:lang w:val="en-US" w:eastAsia="ja-JP"/>
        </w:rPr>
      </w:pPr>
      <w:r>
        <w:rPr>
          <w:rFonts w:eastAsiaTheme="minorEastAsia"/>
          <w:szCs w:val="24"/>
          <w:lang w:val="en-US" w:eastAsia="ja-JP"/>
        </w:rPr>
        <w:t>Budget justification for the proposed projects:</w:t>
      </w:r>
    </w:p>
    <w:p w:rsidR="00CD10B2" w:rsidRPr="00BE635B" w:rsidRDefault="004C616D" w:rsidP="00BE635B">
      <w:pPr>
        <w:pStyle w:val="ListParagraph"/>
        <w:numPr>
          <w:ilvl w:val="0"/>
          <w:numId w:val="30"/>
        </w:numPr>
        <w:spacing w:line="360" w:lineRule="auto"/>
        <w:rPr>
          <w:rFonts w:eastAsiaTheme="minorEastAsia"/>
          <w:szCs w:val="24"/>
          <w:lang w:val="en-US" w:eastAsia="ja-JP"/>
        </w:rPr>
      </w:pPr>
      <w:r>
        <w:rPr>
          <w:rFonts w:eastAsiaTheme="minorEastAsia"/>
          <w:szCs w:val="24"/>
          <w:lang w:val="en-US" w:eastAsia="ja-JP"/>
        </w:rPr>
        <w:t>Comparative study of</w:t>
      </w:r>
      <w:r w:rsidR="009B34F7">
        <w:rPr>
          <w:rFonts w:eastAsiaTheme="minorEastAsia"/>
          <w:szCs w:val="24"/>
          <w:lang w:val="en-US" w:eastAsia="ja-JP"/>
        </w:rPr>
        <w:t xml:space="preserve"> </w:t>
      </w:r>
      <w:r w:rsidR="00CD10B2" w:rsidRPr="00BE635B">
        <w:rPr>
          <w:rFonts w:eastAsiaTheme="minorEastAsia"/>
          <w:szCs w:val="24"/>
          <w:lang w:val="en-US" w:eastAsia="ja-JP"/>
        </w:rPr>
        <w:t>Atlantic a</w:t>
      </w:r>
      <w:r w:rsidR="00BE635B" w:rsidRPr="00BE635B">
        <w:rPr>
          <w:rFonts w:eastAsiaTheme="minorEastAsia"/>
          <w:szCs w:val="24"/>
          <w:lang w:val="en-US" w:eastAsia="ja-JP"/>
        </w:rPr>
        <w:t>nd Pacific sturgeon</w:t>
      </w:r>
    </w:p>
    <w:p w:rsidR="004C616D" w:rsidRDefault="00BE635B" w:rsidP="004C616D">
      <w:pPr>
        <w:widowControl w:val="0"/>
        <w:autoSpaceDE w:val="0"/>
        <w:autoSpaceDN w:val="0"/>
        <w:adjustRightInd w:val="0"/>
        <w:spacing w:after="240" w:line="360" w:lineRule="auto"/>
        <w:ind w:left="709"/>
        <w:rPr>
          <w:lang w:val="en-US"/>
        </w:rPr>
      </w:pPr>
      <w:r w:rsidRPr="00BE635B">
        <w:rPr>
          <w:lang w:val="en-US"/>
        </w:rPr>
        <w:t>The insatiable international market for caviar suggests that the long-term future of sturgeon will depend, in good part, on the success of sturgeon aquaculture. In terms of linking Atlantic and Pacific sturgeon studies, it becomes important for the project to acquire an understanding of sturgeon tracking, and its connections to aquaculture on the West Coast. To date, there appear to be two relatively new firms in British Columbia</w:t>
      </w:r>
      <w:r w:rsidR="00C64DE8">
        <w:rPr>
          <w:lang w:val="en-US"/>
        </w:rPr>
        <w:t>,</w:t>
      </w:r>
      <w:r w:rsidRPr="00BE635B">
        <w:rPr>
          <w:lang w:val="en-US"/>
        </w:rPr>
        <w:t xml:space="preserve"> Target Marine in Sechelt and Taste of BC </w:t>
      </w:r>
      <w:proofErr w:type="spellStart"/>
      <w:r w:rsidRPr="00BE635B">
        <w:rPr>
          <w:lang w:val="en-US"/>
        </w:rPr>
        <w:t>Aquafarms</w:t>
      </w:r>
      <w:proofErr w:type="spellEnd"/>
      <w:r w:rsidRPr="00BE635B">
        <w:rPr>
          <w:lang w:val="en-US"/>
        </w:rPr>
        <w:t xml:space="preserve"> in Nanaimo, as well as two older firms in northern California.</w:t>
      </w:r>
    </w:p>
    <w:p w:rsidR="002A5463" w:rsidRDefault="004C616D" w:rsidP="004C616D">
      <w:pPr>
        <w:widowControl w:val="0"/>
        <w:autoSpaceDE w:val="0"/>
        <w:autoSpaceDN w:val="0"/>
        <w:adjustRightInd w:val="0"/>
        <w:spacing w:after="240" w:line="360" w:lineRule="auto"/>
        <w:ind w:left="709"/>
        <w:rPr>
          <w:lang w:val="en-US"/>
        </w:rPr>
      </w:pPr>
      <w:r>
        <w:rPr>
          <w:lang w:val="en-US"/>
        </w:rPr>
        <w:t>W</w:t>
      </w:r>
      <w:r w:rsidR="002A5463">
        <w:rPr>
          <w:lang w:val="en-US"/>
        </w:rPr>
        <w:t xml:space="preserve">ith </w:t>
      </w:r>
      <w:r w:rsidR="000228AD">
        <w:rPr>
          <w:lang w:val="en-US"/>
        </w:rPr>
        <w:t xml:space="preserve">the </w:t>
      </w:r>
      <w:r w:rsidR="002A5463">
        <w:rPr>
          <w:lang w:val="en-US"/>
        </w:rPr>
        <w:t>Atlantic sturgeon</w:t>
      </w:r>
      <w:r>
        <w:rPr>
          <w:lang w:val="en-US"/>
        </w:rPr>
        <w:t xml:space="preserve"> study</w:t>
      </w:r>
      <w:r w:rsidR="000228AD">
        <w:rPr>
          <w:lang w:val="en-US"/>
        </w:rPr>
        <w:t xml:space="preserve"> largely</w:t>
      </w:r>
      <w:r>
        <w:rPr>
          <w:lang w:val="en-US"/>
        </w:rPr>
        <w:t xml:space="preserve"> completed in OTN Phase I, this project will focus on understanding the social and legal dimensions of Pacific sturgeon (both white and green), in order to </w:t>
      </w:r>
      <w:r w:rsidR="00A7745C">
        <w:rPr>
          <w:lang w:val="en-US"/>
        </w:rPr>
        <w:t>conduct</w:t>
      </w:r>
      <w:r>
        <w:rPr>
          <w:lang w:val="en-US"/>
        </w:rPr>
        <w:t xml:space="preserve"> </w:t>
      </w:r>
      <w:r w:rsidR="00A7745C">
        <w:rPr>
          <w:lang w:val="en-US"/>
        </w:rPr>
        <w:t xml:space="preserve">a </w:t>
      </w:r>
      <w:r>
        <w:rPr>
          <w:lang w:val="en-US"/>
        </w:rPr>
        <w:t>governance comparison between the Atlantic and Pacific</w:t>
      </w:r>
      <w:r w:rsidR="00A7745C">
        <w:rPr>
          <w:lang w:val="en-US"/>
        </w:rPr>
        <w:t xml:space="preserve"> arenas. The social dimension component will be led by Richard Apostle who will conduct fieldwork in Nanaimo and </w:t>
      </w:r>
      <w:r w:rsidR="00A7745C" w:rsidRPr="00A7745C">
        <w:rPr>
          <w:lang w:val="en-US"/>
        </w:rPr>
        <w:t>Sechelt</w:t>
      </w:r>
      <w:r w:rsidR="00A7745C">
        <w:rPr>
          <w:lang w:val="en-US"/>
        </w:rPr>
        <w:t>, B.C. and at aquaculture sites in northern California.</w:t>
      </w:r>
      <w:r w:rsidR="00643291" w:rsidRPr="00643291">
        <w:rPr>
          <w:lang w:val="en-US"/>
        </w:rPr>
        <w:t xml:space="preserve"> </w:t>
      </w:r>
      <w:r w:rsidR="00643291" w:rsidRPr="00BE635B">
        <w:rPr>
          <w:lang w:val="en-US"/>
        </w:rPr>
        <w:t>He will interview sturgeon fish</w:t>
      </w:r>
      <w:r w:rsidR="000228AD">
        <w:rPr>
          <w:lang w:val="en-US"/>
        </w:rPr>
        <w:t>ermen, and sturgeon aquaculturists</w:t>
      </w:r>
      <w:r w:rsidR="00643291" w:rsidRPr="00BE635B">
        <w:rPr>
          <w:lang w:val="en-US"/>
        </w:rPr>
        <w:t>, relevant natural scientists, and other stakeholders.</w:t>
      </w:r>
      <w:r w:rsidR="00643291" w:rsidRPr="00643291">
        <w:rPr>
          <w:lang w:val="en-US"/>
        </w:rPr>
        <w:t xml:space="preserve"> </w:t>
      </w:r>
      <w:r w:rsidR="00643291" w:rsidRPr="00BE635B">
        <w:rPr>
          <w:lang w:val="en-US"/>
        </w:rPr>
        <w:t xml:space="preserve">This case study will also require </w:t>
      </w:r>
      <w:r w:rsidR="00643291">
        <w:rPr>
          <w:lang w:val="en-US"/>
        </w:rPr>
        <w:t>consultation</w:t>
      </w:r>
      <w:r w:rsidR="00643291" w:rsidRPr="00BE635B">
        <w:rPr>
          <w:lang w:val="en-US"/>
        </w:rPr>
        <w:t xml:space="preserve"> in the research design and data analysis of the Human Relations Area Files (HRAF)</w:t>
      </w:r>
      <w:r w:rsidR="00643291">
        <w:rPr>
          <w:lang w:val="en-US"/>
        </w:rPr>
        <w:t xml:space="preserve"> across North America</w:t>
      </w:r>
      <w:r w:rsidR="00643291" w:rsidRPr="00BE635B">
        <w:rPr>
          <w:lang w:val="en-US"/>
        </w:rPr>
        <w:t>. This will permit us to create historical maps of First Nations and settler utilization of sturgeon for food, tools, and ceremonial purposes.</w:t>
      </w:r>
    </w:p>
    <w:p w:rsidR="00643291" w:rsidRDefault="00643291" w:rsidP="00643291">
      <w:pPr>
        <w:widowControl w:val="0"/>
        <w:autoSpaceDE w:val="0"/>
        <w:autoSpaceDN w:val="0"/>
        <w:adjustRightInd w:val="0"/>
        <w:spacing w:after="240" w:line="360" w:lineRule="auto"/>
        <w:ind w:left="709"/>
        <w:rPr>
          <w:lang w:val="en-US"/>
        </w:rPr>
      </w:pPr>
      <w:r>
        <w:rPr>
          <w:lang w:val="en-US"/>
        </w:rPr>
        <w:lastRenderedPageBreak/>
        <w:t>David VanderZwaag will lead the legal dimension component</w:t>
      </w:r>
      <w:r w:rsidR="00A7745C">
        <w:rPr>
          <w:lang w:val="en-US"/>
        </w:rPr>
        <w:t xml:space="preserve">. He </w:t>
      </w:r>
      <w:r>
        <w:rPr>
          <w:lang w:val="en-US"/>
        </w:rPr>
        <w:t>proposes</w:t>
      </w:r>
      <w:r w:rsidR="00A7745C">
        <w:rPr>
          <w:lang w:val="en-US"/>
        </w:rPr>
        <w:t xml:space="preserve"> one trip to Vancouver to interview provincial and federal </w:t>
      </w:r>
      <w:r>
        <w:rPr>
          <w:lang w:val="en-US"/>
        </w:rPr>
        <w:t xml:space="preserve">scientists and </w:t>
      </w:r>
      <w:r w:rsidR="000228AD">
        <w:rPr>
          <w:lang w:val="en-US"/>
        </w:rPr>
        <w:t>managers</w:t>
      </w:r>
      <w:r w:rsidR="00A7745C">
        <w:rPr>
          <w:lang w:val="en-US"/>
        </w:rPr>
        <w:t xml:space="preserve"> regarding fisheries conservation and spe</w:t>
      </w:r>
      <w:r>
        <w:rPr>
          <w:lang w:val="en-US"/>
        </w:rPr>
        <w:t xml:space="preserve">cies at </w:t>
      </w:r>
      <w:r w:rsidR="000228AD">
        <w:rPr>
          <w:lang w:val="en-US"/>
        </w:rPr>
        <w:t>risk recovery</w:t>
      </w:r>
      <w:r>
        <w:rPr>
          <w:lang w:val="en-US"/>
        </w:rPr>
        <w:t xml:space="preserve"> efforts for sturgeon.</w:t>
      </w:r>
    </w:p>
    <w:p w:rsidR="00915156" w:rsidRDefault="000228AD" w:rsidP="00301561">
      <w:pPr>
        <w:widowControl w:val="0"/>
        <w:autoSpaceDE w:val="0"/>
        <w:autoSpaceDN w:val="0"/>
        <w:adjustRightInd w:val="0"/>
        <w:spacing w:after="240" w:line="360" w:lineRule="auto"/>
        <w:ind w:left="709"/>
        <w:rPr>
          <w:lang w:val="en-US"/>
        </w:rPr>
      </w:pPr>
      <w:r>
        <w:rPr>
          <w:lang w:val="en-US"/>
        </w:rPr>
        <w:t>To carry out the Atlantic –Pacific comparative sturgeon project for</w:t>
      </w:r>
      <w:r w:rsidR="00BE635B" w:rsidRPr="00BE635B">
        <w:rPr>
          <w:lang w:val="en-US"/>
        </w:rPr>
        <w:t xml:space="preserve"> OTN ph</w:t>
      </w:r>
      <w:r w:rsidR="00BA00DE">
        <w:rPr>
          <w:lang w:val="en-US"/>
        </w:rPr>
        <w:t>ase II a total budget of $</w:t>
      </w:r>
      <w:r w:rsidR="00301561">
        <w:rPr>
          <w:lang w:val="en-US"/>
        </w:rPr>
        <w:t>1</w:t>
      </w:r>
      <w:r w:rsidR="00F836BC">
        <w:rPr>
          <w:lang w:val="en-US"/>
        </w:rPr>
        <w:t>0</w:t>
      </w:r>
      <w:r w:rsidR="00301561">
        <w:rPr>
          <w:lang w:val="en-US"/>
        </w:rPr>
        <w:t>,</w:t>
      </w:r>
      <w:r w:rsidR="00F836BC">
        <w:rPr>
          <w:lang w:val="en-US"/>
        </w:rPr>
        <w:t>7</w:t>
      </w:r>
      <w:bookmarkStart w:id="0" w:name="_GoBack"/>
      <w:bookmarkEnd w:id="0"/>
      <w:r w:rsidR="00301561">
        <w:rPr>
          <w:lang w:val="en-US"/>
        </w:rPr>
        <w:t>75</w:t>
      </w:r>
      <w:r w:rsidR="00BE635B" w:rsidRPr="00BE635B">
        <w:rPr>
          <w:lang w:val="en-US"/>
        </w:rPr>
        <w:t xml:space="preserve"> is requested. These funds will be used for covering fieldwork expenses on the west coasts of Canada.</w:t>
      </w:r>
    </w:p>
    <w:p w:rsidR="006E6C42" w:rsidRDefault="00C20752" w:rsidP="0011124C">
      <w:pPr>
        <w:widowControl w:val="0"/>
        <w:autoSpaceDE w:val="0"/>
        <w:autoSpaceDN w:val="0"/>
        <w:adjustRightInd w:val="0"/>
        <w:spacing w:after="240" w:line="360" w:lineRule="auto"/>
        <w:ind w:left="709"/>
        <w:rPr>
          <w:lang w:val="en-US"/>
        </w:rPr>
      </w:pPr>
      <w:r>
        <w:rPr>
          <w:lang w:val="en-US"/>
        </w:rPr>
        <w:t>Detailed budget:</w:t>
      </w:r>
    </w:p>
    <w:tbl>
      <w:tblPr>
        <w:tblW w:w="8380" w:type="dxa"/>
        <w:tblInd w:w="817" w:type="dxa"/>
        <w:tblLayout w:type="fixed"/>
        <w:tblLook w:val="04A0" w:firstRow="1" w:lastRow="0" w:firstColumn="1" w:lastColumn="0" w:noHBand="0" w:noVBand="1"/>
      </w:tblPr>
      <w:tblGrid>
        <w:gridCol w:w="3740"/>
        <w:gridCol w:w="1095"/>
        <w:gridCol w:w="1945"/>
        <w:gridCol w:w="1600"/>
      </w:tblGrid>
      <w:tr w:rsidR="006E6C42" w:rsidRPr="006E6C42" w:rsidTr="0011124C">
        <w:trPr>
          <w:trHeight w:val="300"/>
        </w:trPr>
        <w:tc>
          <w:tcPr>
            <w:tcW w:w="3740" w:type="dxa"/>
            <w:tcBorders>
              <w:top w:val="single" w:sz="4" w:space="0" w:color="auto"/>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b/>
                <w:bCs/>
                <w:color w:val="000000"/>
                <w:szCs w:val="24"/>
                <w:u w:val="single"/>
                <w:lang w:val="en-US"/>
              </w:rPr>
            </w:pPr>
            <w:r w:rsidRPr="006E6C42">
              <w:rPr>
                <w:rFonts w:eastAsia="Times New Roman"/>
                <w:b/>
                <w:bCs/>
                <w:color w:val="000000"/>
                <w:szCs w:val="24"/>
                <w:u w:val="single"/>
                <w:lang w:val="en-US"/>
              </w:rPr>
              <w:t>Sturgeon Project</w:t>
            </w:r>
          </w:p>
        </w:tc>
        <w:tc>
          <w:tcPr>
            <w:tcW w:w="1095" w:type="dxa"/>
            <w:tcBorders>
              <w:top w:val="single" w:sz="4" w:space="0" w:color="auto"/>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r w:rsidRPr="006E6C42">
              <w:rPr>
                <w:rFonts w:ascii="Calibri" w:eastAsia="Times New Roman" w:hAnsi="Calibri"/>
                <w:color w:val="000000"/>
                <w:szCs w:val="24"/>
                <w:lang w:val="en-US"/>
              </w:rPr>
              <w:t> </w:t>
            </w:r>
          </w:p>
        </w:tc>
        <w:tc>
          <w:tcPr>
            <w:tcW w:w="1945" w:type="dxa"/>
            <w:tcBorders>
              <w:top w:val="single" w:sz="4" w:space="0" w:color="auto"/>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c>
          <w:tcPr>
            <w:tcW w:w="1600" w:type="dxa"/>
            <w:tcBorders>
              <w:top w:val="single" w:sz="4" w:space="0" w:color="auto"/>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6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b/>
                <w:bCs/>
                <w:color w:val="000000"/>
                <w:szCs w:val="24"/>
                <w:lang w:val="en-US"/>
              </w:rPr>
            </w:pPr>
            <w:r w:rsidRPr="006E6C42">
              <w:rPr>
                <w:rFonts w:eastAsia="Times New Roman"/>
                <w:b/>
                <w:bCs/>
                <w:color w:val="000000"/>
                <w:szCs w:val="24"/>
                <w:lang w:val="en-US"/>
              </w:rPr>
              <w:t>Richard Apostle travel to Nanaimo - Sechelt– San Francisco (14 days)</w:t>
            </w:r>
          </w:p>
        </w:tc>
        <w:tc>
          <w:tcPr>
            <w:tcW w:w="109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color w:val="000000"/>
                <w:szCs w:val="24"/>
                <w:lang w:val="en-US"/>
              </w:rPr>
            </w:pPr>
            <w:r w:rsidRPr="006E6C42">
              <w:rPr>
                <w:rFonts w:eastAsia="Times New Roman"/>
                <w:color w:val="000000"/>
                <w:szCs w:val="24"/>
                <w:lang w:val="en-US"/>
              </w:rPr>
              <w:t xml:space="preserve">Travel: </w:t>
            </w:r>
          </w:p>
        </w:tc>
        <w:tc>
          <w:tcPr>
            <w:tcW w:w="109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r w:rsidRPr="006E6C42">
              <w:rPr>
                <w:rFonts w:ascii="Calibri" w:eastAsia="Times New Roman" w:hAnsi="Calibri"/>
                <w:color w:val="000000"/>
                <w:szCs w:val="24"/>
                <w:lang w:val="en-US"/>
              </w:rPr>
              <w:t>1,500</w:t>
            </w: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color w:val="000000"/>
                <w:szCs w:val="24"/>
                <w:lang w:val="en-US"/>
              </w:rPr>
            </w:pPr>
            <w:r w:rsidRPr="006E6C42">
              <w:rPr>
                <w:rFonts w:eastAsia="Times New Roman"/>
                <w:color w:val="000000"/>
                <w:szCs w:val="24"/>
                <w:lang w:val="en-US"/>
              </w:rPr>
              <w:t>Local travel:</w:t>
            </w:r>
          </w:p>
        </w:tc>
        <w:tc>
          <w:tcPr>
            <w:tcW w:w="109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r w:rsidRPr="006E6C42">
              <w:rPr>
                <w:rFonts w:ascii="Calibri" w:eastAsia="Times New Roman" w:hAnsi="Calibri"/>
                <w:color w:val="000000"/>
                <w:szCs w:val="24"/>
                <w:lang w:val="en-US"/>
              </w:rPr>
              <w:t>1,300</w:t>
            </w: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color w:val="000000"/>
                <w:szCs w:val="24"/>
                <w:lang w:val="en-US"/>
              </w:rPr>
            </w:pPr>
            <w:r w:rsidRPr="006E6C42">
              <w:rPr>
                <w:rFonts w:eastAsia="Times New Roman"/>
                <w:color w:val="000000"/>
                <w:szCs w:val="24"/>
                <w:lang w:val="en-US"/>
              </w:rPr>
              <w:t>Accommodation and meals:</w:t>
            </w:r>
          </w:p>
        </w:tc>
        <w:tc>
          <w:tcPr>
            <w:tcW w:w="109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r w:rsidRPr="006E6C42">
              <w:rPr>
                <w:rFonts w:ascii="Calibri" w:eastAsia="Times New Roman" w:hAnsi="Calibri"/>
                <w:color w:val="000000"/>
                <w:szCs w:val="24"/>
                <w:lang w:val="en-US"/>
              </w:rPr>
              <w:t>3,150</w:t>
            </w: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b/>
                <w:bCs/>
                <w:color w:val="000000"/>
                <w:szCs w:val="24"/>
                <w:lang w:val="en-US"/>
              </w:rPr>
            </w:pPr>
            <w:r w:rsidRPr="006E6C42">
              <w:rPr>
                <w:rFonts w:eastAsia="Times New Roman"/>
                <w:b/>
                <w:bCs/>
                <w:color w:val="000000"/>
                <w:szCs w:val="24"/>
                <w:lang w:val="en-US"/>
              </w:rPr>
              <w:t> </w:t>
            </w:r>
          </w:p>
        </w:tc>
        <w:tc>
          <w:tcPr>
            <w:tcW w:w="1095" w:type="dxa"/>
            <w:tcBorders>
              <w:top w:val="nil"/>
              <w:left w:val="nil"/>
              <w:bottom w:val="nil"/>
              <w:right w:val="nil"/>
            </w:tcBorders>
            <w:shd w:val="clear" w:color="auto" w:fill="auto"/>
            <w:vAlign w:val="center"/>
            <w:hideMark/>
          </w:tcPr>
          <w:p w:rsidR="006E6C42" w:rsidRPr="006E6C42" w:rsidRDefault="006E6C42" w:rsidP="006E6C42">
            <w:pPr>
              <w:spacing w:after="0" w:line="240" w:lineRule="auto"/>
              <w:jc w:val="right"/>
              <w:rPr>
                <w:rFonts w:eastAsia="Times New Roman"/>
                <w:b/>
                <w:bCs/>
                <w:color w:val="000000"/>
                <w:szCs w:val="24"/>
                <w:lang w:val="en-US"/>
              </w:rPr>
            </w:pPr>
            <w:r w:rsidRPr="006E6C42">
              <w:rPr>
                <w:rFonts w:eastAsia="Times New Roman"/>
                <w:b/>
                <w:bCs/>
                <w:color w:val="000000"/>
                <w:szCs w:val="24"/>
                <w:lang w:val="en-US"/>
              </w:rPr>
              <w:t>Total:</w:t>
            </w: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r w:rsidRPr="006E6C42">
              <w:rPr>
                <w:rFonts w:ascii="Calibri" w:eastAsia="Times New Roman" w:hAnsi="Calibri"/>
                <w:b/>
                <w:bCs/>
                <w:color w:val="000000"/>
                <w:szCs w:val="24"/>
                <w:lang w:val="en-US"/>
              </w:rPr>
              <w:t>5,950</w:t>
            </w:r>
          </w:p>
        </w:tc>
        <w:tc>
          <w:tcPr>
            <w:tcW w:w="1600" w:type="dxa"/>
            <w:tcBorders>
              <w:top w:val="nil"/>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6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b/>
                <w:bCs/>
                <w:color w:val="000000"/>
                <w:szCs w:val="24"/>
                <w:lang w:val="en-US"/>
              </w:rPr>
            </w:pPr>
            <w:r w:rsidRPr="006E6C42">
              <w:rPr>
                <w:rFonts w:eastAsia="Times New Roman"/>
                <w:b/>
                <w:bCs/>
                <w:color w:val="000000"/>
                <w:szCs w:val="24"/>
                <w:lang w:val="en-US"/>
              </w:rPr>
              <w:t>David Va</w:t>
            </w:r>
            <w:r w:rsidR="000228AD">
              <w:rPr>
                <w:rFonts w:eastAsia="Times New Roman"/>
                <w:b/>
                <w:bCs/>
                <w:color w:val="000000"/>
                <w:szCs w:val="24"/>
                <w:lang w:val="en-US"/>
              </w:rPr>
              <w:t>nderZwaag travel to Vancouver (4</w:t>
            </w:r>
            <w:r w:rsidRPr="006E6C42">
              <w:rPr>
                <w:rFonts w:eastAsia="Times New Roman"/>
                <w:b/>
                <w:bCs/>
                <w:color w:val="000000"/>
                <w:szCs w:val="24"/>
                <w:lang w:val="en-US"/>
              </w:rPr>
              <w:t xml:space="preserve"> days)</w:t>
            </w:r>
          </w:p>
        </w:tc>
        <w:tc>
          <w:tcPr>
            <w:tcW w:w="109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color w:val="000000"/>
                <w:szCs w:val="24"/>
                <w:lang w:val="en-US"/>
              </w:rPr>
            </w:pPr>
            <w:r w:rsidRPr="006E6C42">
              <w:rPr>
                <w:rFonts w:eastAsia="Times New Roman"/>
                <w:color w:val="000000"/>
                <w:szCs w:val="24"/>
                <w:lang w:val="en-US"/>
              </w:rPr>
              <w:t xml:space="preserve">Travel: </w:t>
            </w:r>
          </w:p>
        </w:tc>
        <w:tc>
          <w:tcPr>
            <w:tcW w:w="109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r w:rsidRPr="006E6C42">
              <w:rPr>
                <w:rFonts w:ascii="Calibri" w:eastAsia="Times New Roman" w:hAnsi="Calibri"/>
                <w:color w:val="000000"/>
                <w:szCs w:val="24"/>
                <w:lang w:val="en-US"/>
              </w:rPr>
              <w:t>1,200</w:t>
            </w: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color w:val="000000"/>
                <w:szCs w:val="24"/>
                <w:lang w:val="en-US"/>
              </w:rPr>
            </w:pPr>
            <w:r w:rsidRPr="006E6C42">
              <w:rPr>
                <w:rFonts w:eastAsia="Times New Roman"/>
                <w:color w:val="000000"/>
                <w:szCs w:val="24"/>
                <w:lang w:val="en-US"/>
              </w:rPr>
              <w:t>Local travel:</w:t>
            </w:r>
          </w:p>
        </w:tc>
        <w:tc>
          <w:tcPr>
            <w:tcW w:w="1095" w:type="dxa"/>
            <w:tcBorders>
              <w:top w:val="nil"/>
              <w:left w:val="nil"/>
              <w:bottom w:val="nil"/>
              <w:right w:val="nil"/>
            </w:tcBorders>
            <w:shd w:val="clear" w:color="auto" w:fill="auto"/>
            <w:vAlign w:val="bottom"/>
            <w:hideMark/>
          </w:tcPr>
          <w:p w:rsidR="006E6C42" w:rsidRPr="006E6C42" w:rsidRDefault="000228AD" w:rsidP="006E6C42">
            <w:pPr>
              <w:spacing w:after="0" w:line="240" w:lineRule="auto"/>
              <w:jc w:val="right"/>
              <w:rPr>
                <w:rFonts w:ascii="Calibri" w:eastAsia="Times New Roman" w:hAnsi="Calibri"/>
                <w:color w:val="000000"/>
                <w:szCs w:val="24"/>
                <w:lang w:val="en-US"/>
              </w:rPr>
            </w:pPr>
            <w:r>
              <w:rPr>
                <w:rFonts w:ascii="Calibri" w:eastAsia="Times New Roman" w:hAnsi="Calibri"/>
                <w:color w:val="000000"/>
                <w:szCs w:val="24"/>
                <w:lang w:val="en-US"/>
              </w:rPr>
              <w:t>2</w:t>
            </w:r>
            <w:r w:rsidR="006E6C42" w:rsidRPr="006E6C42">
              <w:rPr>
                <w:rFonts w:ascii="Calibri" w:eastAsia="Times New Roman" w:hAnsi="Calibri"/>
                <w:color w:val="000000"/>
                <w:szCs w:val="24"/>
                <w:lang w:val="en-US"/>
              </w:rPr>
              <w:t>00</w:t>
            </w: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noWrap/>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color w:val="000000"/>
                <w:szCs w:val="24"/>
                <w:lang w:val="en-US"/>
              </w:rPr>
            </w:pPr>
            <w:r w:rsidRPr="006E6C42">
              <w:rPr>
                <w:rFonts w:eastAsia="Times New Roman"/>
                <w:color w:val="000000"/>
                <w:szCs w:val="24"/>
                <w:lang w:val="en-US"/>
              </w:rPr>
              <w:t>Accommodation and meals:</w:t>
            </w:r>
          </w:p>
        </w:tc>
        <w:tc>
          <w:tcPr>
            <w:tcW w:w="1095" w:type="dxa"/>
            <w:tcBorders>
              <w:top w:val="nil"/>
              <w:left w:val="nil"/>
              <w:bottom w:val="nil"/>
              <w:right w:val="nil"/>
            </w:tcBorders>
            <w:shd w:val="clear" w:color="auto" w:fill="auto"/>
            <w:vAlign w:val="bottom"/>
            <w:hideMark/>
          </w:tcPr>
          <w:p w:rsidR="006E6C42" w:rsidRPr="006E6C42" w:rsidRDefault="000228AD" w:rsidP="000228AD">
            <w:pPr>
              <w:spacing w:after="0" w:line="240" w:lineRule="auto"/>
              <w:jc w:val="right"/>
              <w:rPr>
                <w:rFonts w:ascii="Calibri" w:eastAsia="Times New Roman" w:hAnsi="Calibri"/>
                <w:color w:val="000000"/>
                <w:szCs w:val="24"/>
                <w:lang w:val="en-US"/>
              </w:rPr>
            </w:pPr>
            <w:r>
              <w:rPr>
                <w:rFonts w:ascii="Calibri" w:eastAsia="Times New Roman" w:hAnsi="Calibri"/>
                <w:color w:val="000000"/>
                <w:szCs w:val="24"/>
                <w:lang w:val="en-US"/>
              </w:rPr>
              <w:t>925</w:t>
            </w:r>
          </w:p>
        </w:tc>
        <w:tc>
          <w:tcPr>
            <w:tcW w:w="1945" w:type="dxa"/>
            <w:tcBorders>
              <w:top w:val="nil"/>
              <w:left w:val="nil"/>
              <w:bottom w:val="nil"/>
              <w:right w:val="nil"/>
            </w:tcBorders>
            <w:shd w:val="clear" w:color="auto" w:fill="auto"/>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p>
        </w:tc>
        <w:tc>
          <w:tcPr>
            <w:tcW w:w="1600" w:type="dxa"/>
            <w:tcBorders>
              <w:top w:val="nil"/>
              <w:left w:val="nil"/>
              <w:bottom w:val="nil"/>
              <w:right w:val="single" w:sz="4" w:space="0" w:color="auto"/>
            </w:tcBorders>
            <w:shd w:val="clear" w:color="auto" w:fill="auto"/>
            <w:noWrap/>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b/>
                <w:bCs/>
                <w:color w:val="000000"/>
                <w:szCs w:val="24"/>
                <w:lang w:val="en-US"/>
              </w:rPr>
            </w:pPr>
            <w:r w:rsidRPr="006E6C42">
              <w:rPr>
                <w:rFonts w:eastAsia="Times New Roman"/>
                <w:b/>
                <w:bCs/>
                <w:color w:val="000000"/>
                <w:szCs w:val="24"/>
                <w:lang w:val="en-US"/>
              </w:rPr>
              <w:t> </w:t>
            </w:r>
          </w:p>
        </w:tc>
        <w:tc>
          <w:tcPr>
            <w:tcW w:w="1095" w:type="dxa"/>
            <w:tcBorders>
              <w:top w:val="nil"/>
              <w:left w:val="nil"/>
              <w:bottom w:val="nil"/>
              <w:right w:val="nil"/>
            </w:tcBorders>
            <w:shd w:val="clear" w:color="auto" w:fill="auto"/>
            <w:vAlign w:val="center"/>
            <w:hideMark/>
          </w:tcPr>
          <w:p w:rsidR="006E6C42" w:rsidRPr="006E6C42" w:rsidRDefault="006E6C42" w:rsidP="006E6C42">
            <w:pPr>
              <w:spacing w:after="0" w:line="240" w:lineRule="auto"/>
              <w:jc w:val="right"/>
              <w:rPr>
                <w:rFonts w:eastAsia="Times New Roman"/>
                <w:b/>
                <w:bCs/>
                <w:color w:val="000000"/>
                <w:szCs w:val="24"/>
                <w:lang w:val="en-US"/>
              </w:rPr>
            </w:pPr>
            <w:r w:rsidRPr="006E6C42">
              <w:rPr>
                <w:rFonts w:eastAsia="Times New Roman"/>
                <w:b/>
                <w:bCs/>
                <w:color w:val="000000"/>
                <w:szCs w:val="24"/>
                <w:lang w:val="en-US"/>
              </w:rPr>
              <w:t>Total:</w:t>
            </w:r>
          </w:p>
        </w:tc>
        <w:tc>
          <w:tcPr>
            <w:tcW w:w="1945" w:type="dxa"/>
            <w:tcBorders>
              <w:top w:val="nil"/>
              <w:left w:val="nil"/>
              <w:bottom w:val="nil"/>
              <w:right w:val="nil"/>
            </w:tcBorders>
            <w:shd w:val="clear" w:color="auto" w:fill="auto"/>
            <w:vAlign w:val="bottom"/>
            <w:hideMark/>
          </w:tcPr>
          <w:p w:rsidR="006E6C42" w:rsidRPr="006E6C42" w:rsidRDefault="00CB6C29" w:rsidP="006E6C42">
            <w:pPr>
              <w:spacing w:after="0" w:line="240" w:lineRule="auto"/>
              <w:jc w:val="right"/>
              <w:rPr>
                <w:rFonts w:ascii="Calibri" w:eastAsia="Times New Roman" w:hAnsi="Calibri"/>
                <w:b/>
                <w:bCs/>
                <w:color w:val="000000"/>
                <w:szCs w:val="24"/>
                <w:lang w:val="en-US"/>
              </w:rPr>
            </w:pPr>
            <w:r>
              <w:rPr>
                <w:rFonts w:ascii="Calibri" w:eastAsia="Times New Roman" w:hAnsi="Calibri"/>
                <w:b/>
                <w:bCs/>
                <w:color w:val="000000"/>
                <w:szCs w:val="24"/>
                <w:lang w:val="en-US"/>
              </w:rPr>
              <w:t>2,3</w:t>
            </w:r>
            <w:r w:rsidR="006E6C42" w:rsidRPr="006E6C42">
              <w:rPr>
                <w:rFonts w:ascii="Calibri" w:eastAsia="Times New Roman" w:hAnsi="Calibri"/>
                <w:b/>
                <w:bCs/>
                <w:color w:val="000000"/>
                <w:szCs w:val="24"/>
                <w:lang w:val="en-US"/>
              </w:rPr>
              <w:t>25</w:t>
            </w:r>
          </w:p>
        </w:tc>
        <w:tc>
          <w:tcPr>
            <w:tcW w:w="1600" w:type="dxa"/>
            <w:tcBorders>
              <w:top w:val="nil"/>
              <w:left w:val="nil"/>
              <w:bottom w:val="nil"/>
              <w:right w:val="single" w:sz="4" w:space="0" w:color="auto"/>
            </w:tcBorders>
            <w:shd w:val="clear" w:color="auto" w:fill="auto"/>
            <w:noWrap/>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nil"/>
              <w:right w:val="nil"/>
            </w:tcBorders>
            <w:shd w:val="clear" w:color="auto" w:fill="auto"/>
            <w:vAlign w:val="center"/>
            <w:hideMark/>
          </w:tcPr>
          <w:p w:rsidR="006E6C42" w:rsidRPr="006E6C42" w:rsidRDefault="006E6C42" w:rsidP="006E6C42">
            <w:pPr>
              <w:spacing w:after="0" w:line="240" w:lineRule="auto"/>
              <w:rPr>
                <w:rFonts w:eastAsia="Times New Roman"/>
                <w:color w:val="000000"/>
                <w:szCs w:val="24"/>
                <w:lang w:val="en-US"/>
              </w:rPr>
            </w:pPr>
            <w:r w:rsidRPr="006E6C42">
              <w:rPr>
                <w:rFonts w:eastAsia="Times New Roman"/>
                <w:color w:val="000000"/>
                <w:szCs w:val="24"/>
                <w:lang w:val="en-US"/>
              </w:rPr>
              <w:t xml:space="preserve">HRAF consultation </w:t>
            </w:r>
          </w:p>
        </w:tc>
        <w:tc>
          <w:tcPr>
            <w:tcW w:w="1095" w:type="dxa"/>
            <w:tcBorders>
              <w:top w:val="nil"/>
              <w:left w:val="nil"/>
              <w:bottom w:val="nil"/>
              <w:right w:val="nil"/>
            </w:tcBorders>
            <w:shd w:val="clear" w:color="auto" w:fill="auto"/>
            <w:noWrap/>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p>
        </w:tc>
        <w:tc>
          <w:tcPr>
            <w:tcW w:w="1945" w:type="dxa"/>
            <w:tcBorders>
              <w:top w:val="nil"/>
              <w:left w:val="nil"/>
              <w:bottom w:val="nil"/>
              <w:right w:val="nil"/>
            </w:tcBorders>
            <w:shd w:val="clear" w:color="auto" w:fill="auto"/>
            <w:noWrap/>
            <w:vAlign w:val="bottom"/>
            <w:hideMark/>
          </w:tcPr>
          <w:p w:rsidR="006E6C42" w:rsidRPr="006E6C42" w:rsidRDefault="006E6C42" w:rsidP="006E6C42">
            <w:pPr>
              <w:spacing w:after="0" w:line="240" w:lineRule="auto"/>
              <w:jc w:val="right"/>
              <w:rPr>
                <w:rFonts w:ascii="Calibri" w:eastAsia="Times New Roman" w:hAnsi="Calibri"/>
                <w:b/>
                <w:bCs/>
                <w:color w:val="000000"/>
                <w:szCs w:val="24"/>
                <w:lang w:val="en-US"/>
              </w:rPr>
            </w:pPr>
            <w:r w:rsidRPr="006E6C42">
              <w:rPr>
                <w:rFonts w:ascii="Calibri" w:eastAsia="Times New Roman" w:hAnsi="Calibri"/>
                <w:b/>
                <w:bCs/>
                <w:color w:val="000000"/>
                <w:szCs w:val="24"/>
                <w:lang w:val="en-US"/>
              </w:rPr>
              <w:t>2,500</w:t>
            </w:r>
          </w:p>
        </w:tc>
        <w:tc>
          <w:tcPr>
            <w:tcW w:w="1600" w:type="dxa"/>
            <w:tcBorders>
              <w:top w:val="nil"/>
              <w:left w:val="nil"/>
              <w:bottom w:val="nil"/>
              <w:right w:val="single" w:sz="4" w:space="0" w:color="auto"/>
            </w:tcBorders>
            <w:shd w:val="clear" w:color="auto" w:fill="auto"/>
            <w:noWrap/>
            <w:vAlign w:val="bottom"/>
            <w:hideMark/>
          </w:tcPr>
          <w:p w:rsidR="006E6C42" w:rsidRPr="006E6C42" w:rsidRDefault="006E6C42" w:rsidP="006E6C42">
            <w:pPr>
              <w:spacing w:after="0" w:line="240" w:lineRule="auto"/>
              <w:rPr>
                <w:rFonts w:ascii="Calibri" w:eastAsia="Times New Roman" w:hAnsi="Calibri"/>
                <w:b/>
                <w:bCs/>
                <w:color w:val="000000"/>
                <w:szCs w:val="24"/>
                <w:lang w:val="en-US"/>
              </w:rPr>
            </w:pPr>
            <w:r w:rsidRPr="006E6C42">
              <w:rPr>
                <w:rFonts w:ascii="Calibri" w:eastAsia="Times New Roman" w:hAnsi="Calibri"/>
                <w:b/>
                <w:bCs/>
                <w:color w:val="000000"/>
                <w:szCs w:val="24"/>
                <w:lang w:val="en-US"/>
              </w:rPr>
              <w:t> </w:t>
            </w:r>
          </w:p>
        </w:tc>
      </w:tr>
      <w:tr w:rsidR="006E6C42" w:rsidRPr="006E6C42" w:rsidTr="0011124C">
        <w:trPr>
          <w:trHeight w:val="300"/>
        </w:trPr>
        <w:tc>
          <w:tcPr>
            <w:tcW w:w="3740" w:type="dxa"/>
            <w:tcBorders>
              <w:top w:val="nil"/>
              <w:left w:val="single" w:sz="4" w:space="0" w:color="auto"/>
              <w:bottom w:val="single" w:sz="4" w:space="0" w:color="auto"/>
              <w:right w:val="nil"/>
            </w:tcBorders>
            <w:shd w:val="clear" w:color="auto" w:fill="auto"/>
            <w:noWrap/>
            <w:vAlign w:val="bottom"/>
            <w:hideMark/>
          </w:tcPr>
          <w:p w:rsidR="006E6C42" w:rsidRPr="006E6C42" w:rsidRDefault="006E6C42" w:rsidP="006E6C42">
            <w:pPr>
              <w:spacing w:after="0" w:line="240" w:lineRule="auto"/>
              <w:rPr>
                <w:rFonts w:ascii="Calibri" w:eastAsia="Times New Roman" w:hAnsi="Calibri"/>
                <w:color w:val="000000"/>
                <w:szCs w:val="24"/>
                <w:lang w:val="en-US"/>
              </w:rPr>
            </w:pPr>
            <w:r w:rsidRPr="006E6C42">
              <w:rPr>
                <w:rFonts w:ascii="Calibri" w:eastAsia="Times New Roman" w:hAnsi="Calibri"/>
                <w:color w:val="000000"/>
                <w:szCs w:val="24"/>
                <w:lang w:val="en-US"/>
              </w:rPr>
              <w:t> </w:t>
            </w:r>
          </w:p>
        </w:tc>
        <w:tc>
          <w:tcPr>
            <w:tcW w:w="1095" w:type="dxa"/>
            <w:tcBorders>
              <w:top w:val="nil"/>
              <w:left w:val="nil"/>
              <w:bottom w:val="single" w:sz="4" w:space="0" w:color="auto"/>
              <w:right w:val="nil"/>
            </w:tcBorders>
            <w:shd w:val="clear" w:color="auto" w:fill="auto"/>
            <w:noWrap/>
            <w:vAlign w:val="bottom"/>
            <w:hideMark/>
          </w:tcPr>
          <w:p w:rsidR="006E6C42" w:rsidRPr="006E6C42" w:rsidRDefault="006E6C42" w:rsidP="006E6C42">
            <w:pPr>
              <w:spacing w:after="0" w:line="240" w:lineRule="auto"/>
              <w:jc w:val="right"/>
              <w:rPr>
                <w:rFonts w:ascii="Calibri" w:eastAsia="Times New Roman" w:hAnsi="Calibri"/>
                <w:color w:val="000000"/>
                <w:szCs w:val="24"/>
                <w:lang w:val="en-US"/>
              </w:rPr>
            </w:pPr>
            <w:r w:rsidRPr="006E6C42">
              <w:rPr>
                <w:rFonts w:ascii="Calibri" w:eastAsia="Times New Roman" w:hAnsi="Calibri"/>
                <w:color w:val="000000"/>
                <w:szCs w:val="24"/>
                <w:lang w:val="en-US"/>
              </w:rPr>
              <w:t> </w:t>
            </w:r>
          </w:p>
        </w:tc>
        <w:tc>
          <w:tcPr>
            <w:tcW w:w="1945" w:type="dxa"/>
            <w:tcBorders>
              <w:top w:val="nil"/>
              <w:left w:val="nil"/>
              <w:bottom w:val="single" w:sz="4" w:space="0" w:color="auto"/>
              <w:right w:val="nil"/>
            </w:tcBorders>
            <w:shd w:val="clear" w:color="auto" w:fill="auto"/>
            <w:vAlign w:val="center"/>
            <w:hideMark/>
          </w:tcPr>
          <w:p w:rsidR="006E6C42" w:rsidRPr="006E6C42" w:rsidRDefault="006E6C42" w:rsidP="006E6C42">
            <w:pPr>
              <w:spacing w:after="0" w:line="240" w:lineRule="auto"/>
              <w:jc w:val="right"/>
              <w:rPr>
                <w:rFonts w:eastAsia="Times New Roman"/>
                <w:b/>
                <w:bCs/>
                <w:color w:val="000000"/>
                <w:szCs w:val="24"/>
                <w:u w:val="single"/>
                <w:lang w:val="en-US"/>
              </w:rPr>
            </w:pPr>
            <w:r w:rsidRPr="006E6C42">
              <w:rPr>
                <w:rFonts w:eastAsia="Times New Roman"/>
                <w:b/>
                <w:bCs/>
                <w:color w:val="000000"/>
                <w:szCs w:val="24"/>
                <w:u w:val="single"/>
                <w:lang w:val="en-US"/>
              </w:rPr>
              <w:t>Sturgeon Total:</w:t>
            </w:r>
          </w:p>
        </w:tc>
        <w:tc>
          <w:tcPr>
            <w:tcW w:w="1600" w:type="dxa"/>
            <w:tcBorders>
              <w:top w:val="nil"/>
              <w:left w:val="nil"/>
              <w:bottom w:val="single" w:sz="4" w:space="0" w:color="auto"/>
              <w:right w:val="single" w:sz="4" w:space="0" w:color="auto"/>
            </w:tcBorders>
            <w:shd w:val="clear" w:color="auto" w:fill="auto"/>
            <w:noWrap/>
            <w:vAlign w:val="bottom"/>
            <w:hideMark/>
          </w:tcPr>
          <w:p w:rsidR="006E6C42" w:rsidRPr="006E6C42" w:rsidRDefault="006E6C42" w:rsidP="000228AD">
            <w:pPr>
              <w:spacing w:after="0" w:line="240" w:lineRule="auto"/>
              <w:jc w:val="right"/>
              <w:rPr>
                <w:rFonts w:ascii="Calibri" w:eastAsia="Times New Roman" w:hAnsi="Calibri"/>
                <w:b/>
                <w:bCs/>
                <w:color w:val="000000"/>
                <w:szCs w:val="24"/>
                <w:lang w:val="en-US"/>
              </w:rPr>
            </w:pPr>
            <w:r w:rsidRPr="006E6C42">
              <w:rPr>
                <w:rFonts w:ascii="Calibri" w:eastAsia="Times New Roman" w:hAnsi="Calibri"/>
                <w:b/>
                <w:bCs/>
                <w:color w:val="000000"/>
                <w:szCs w:val="24"/>
                <w:lang w:val="en-US"/>
              </w:rPr>
              <w:t>$</w:t>
            </w:r>
            <w:r w:rsidR="00CB6C29">
              <w:rPr>
                <w:rFonts w:ascii="Calibri" w:eastAsia="Times New Roman" w:hAnsi="Calibri"/>
                <w:b/>
                <w:bCs/>
                <w:color w:val="000000"/>
                <w:szCs w:val="24"/>
                <w:lang w:val="en-US"/>
              </w:rPr>
              <w:t>1</w:t>
            </w:r>
            <w:r w:rsidR="000228AD">
              <w:rPr>
                <w:rFonts w:ascii="Calibri" w:eastAsia="Times New Roman" w:hAnsi="Calibri"/>
                <w:b/>
                <w:bCs/>
                <w:color w:val="000000"/>
                <w:szCs w:val="24"/>
                <w:lang w:val="en-US"/>
              </w:rPr>
              <w:t>0,</w:t>
            </w:r>
            <w:r w:rsidR="00CB6C29">
              <w:rPr>
                <w:rFonts w:ascii="Calibri" w:eastAsia="Times New Roman" w:hAnsi="Calibri"/>
                <w:b/>
                <w:bCs/>
                <w:color w:val="000000"/>
                <w:szCs w:val="24"/>
                <w:lang w:val="en-US"/>
              </w:rPr>
              <w:t>775</w:t>
            </w:r>
          </w:p>
        </w:tc>
      </w:tr>
    </w:tbl>
    <w:p w:rsidR="006E6C42" w:rsidRDefault="006E6C42" w:rsidP="00BE635B">
      <w:pPr>
        <w:widowControl w:val="0"/>
        <w:autoSpaceDE w:val="0"/>
        <w:autoSpaceDN w:val="0"/>
        <w:adjustRightInd w:val="0"/>
        <w:spacing w:after="240" w:line="360" w:lineRule="auto"/>
        <w:ind w:left="709"/>
        <w:rPr>
          <w:lang w:val="en-US"/>
        </w:rPr>
      </w:pPr>
    </w:p>
    <w:p w:rsidR="00CD10B2" w:rsidRDefault="00CD10B2" w:rsidP="00BE635B">
      <w:pPr>
        <w:pStyle w:val="ListParagraph"/>
        <w:numPr>
          <w:ilvl w:val="0"/>
          <w:numId w:val="30"/>
        </w:numPr>
        <w:spacing w:line="360" w:lineRule="auto"/>
        <w:rPr>
          <w:rFonts w:eastAsiaTheme="minorEastAsia"/>
          <w:szCs w:val="24"/>
          <w:lang w:val="en-US" w:eastAsia="ja-JP"/>
        </w:rPr>
      </w:pPr>
      <w:r w:rsidRPr="00BE635B">
        <w:rPr>
          <w:rFonts w:eastAsiaTheme="minorEastAsia"/>
          <w:szCs w:val="24"/>
          <w:lang w:val="en-US" w:eastAsia="ja-JP"/>
        </w:rPr>
        <w:t>Sociology of Knowledge</w:t>
      </w:r>
    </w:p>
    <w:p w:rsidR="00BE635B" w:rsidRDefault="00BE635B" w:rsidP="00BE635B">
      <w:pPr>
        <w:pStyle w:val="ListParagraph"/>
        <w:widowControl w:val="0"/>
        <w:autoSpaceDE w:val="0"/>
        <w:autoSpaceDN w:val="0"/>
        <w:adjustRightInd w:val="0"/>
        <w:spacing w:after="240" w:line="360" w:lineRule="auto"/>
        <w:rPr>
          <w:lang w:val="en-US"/>
        </w:rPr>
      </w:pPr>
      <w:r w:rsidRPr="00903AE6">
        <w:rPr>
          <w:lang w:val="en-US"/>
        </w:rPr>
        <w:t>To understand the full potential of OTN technology integration and its implications for scientific cooperation, conservation, and marine governance, a cross category case study will ex</w:t>
      </w:r>
      <w:r w:rsidR="000228AD">
        <w:rPr>
          <w:lang w:val="en-US"/>
        </w:rPr>
        <w:t>amine the use of OTN technology,</w:t>
      </w:r>
      <w:r w:rsidRPr="00903AE6">
        <w:rPr>
          <w:lang w:val="en-US"/>
        </w:rPr>
        <w:t xml:space="preserve"> information and knowledge flow among and</w:t>
      </w:r>
      <w:r>
        <w:rPr>
          <w:lang w:val="en-US"/>
        </w:rPr>
        <w:t xml:space="preserve"> </w:t>
      </w:r>
      <w:r w:rsidRPr="00903AE6">
        <w:rPr>
          <w:lang w:val="en-US"/>
        </w:rPr>
        <w:t>between scientific communities, policy and decision makers, and other stakeholders across the country in all levels of governance. This sociology of knowledge sub-theme will cross all other case studies</w:t>
      </w:r>
      <w:r>
        <w:rPr>
          <w:lang w:val="en-US"/>
        </w:rPr>
        <w:t>.</w:t>
      </w:r>
    </w:p>
    <w:p w:rsidR="00BA00DE" w:rsidRDefault="00695E80" w:rsidP="00695E80">
      <w:pPr>
        <w:pStyle w:val="ListParagraph"/>
        <w:widowControl w:val="0"/>
        <w:autoSpaceDE w:val="0"/>
        <w:autoSpaceDN w:val="0"/>
        <w:adjustRightInd w:val="0"/>
        <w:spacing w:after="240" w:line="360" w:lineRule="auto"/>
        <w:rPr>
          <w:lang w:val="en-US"/>
        </w:rPr>
      </w:pPr>
      <w:r>
        <w:rPr>
          <w:lang w:val="en-US"/>
        </w:rPr>
        <w:t xml:space="preserve">For the Sociology of Knowledge project </w:t>
      </w:r>
      <w:r w:rsidRPr="00695E80">
        <w:rPr>
          <w:lang w:val="en-US"/>
        </w:rPr>
        <w:t>for OT</w:t>
      </w:r>
      <w:r>
        <w:rPr>
          <w:lang w:val="en-US"/>
        </w:rPr>
        <w:t>N</w:t>
      </w:r>
      <w:r w:rsidR="00BA00DE">
        <w:rPr>
          <w:lang w:val="en-US"/>
        </w:rPr>
        <w:t xml:space="preserve"> p</w:t>
      </w:r>
      <w:r w:rsidR="007F7BBB">
        <w:rPr>
          <w:lang w:val="en-US"/>
        </w:rPr>
        <w:t>hase II a total budget of $</w:t>
      </w:r>
      <w:r w:rsidR="00301561">
        <w:rPr>
          <w:lang w:val="en-US"/>
        </w:rPr>
        <w:t>4,625</w:t>
      </w:r>
      <w:r w:rsidRPr="00695E80">
        <w:rPr>
          <w:lang w:val="en-US"/>
        </w:rPr>
        <w:t xml:space="preserve"> is </w:t>
      </w:r>
      <w:r w:rsidRPr="00695E80">
        <w:rPr>
          <w:lang w:val="en-US"/>
        </w:rPr>
        <w:lastRenderedPageBreak/>
        <w:t>requested. These funds will be used for</w:t>
      </w:r>
      <w:r>
        <w:rPr>
          <w:lang w:val="en-US"/>
        </w:rPr>
        <w:t xml:space="preserve"> covering fieldwork expenses in engaging stakeholders in Atlantic Canada and Ottawa.</w:t>
      </w:r>
    </w:p>
    <w:p w:rsidR="00301561" w:rsidRDefault="00301561" w:rsidP="00695E80">
      <w:pPr>
        <w:pStyle w:val="ListParagraph"/>
        <w:widowControl w:val="0"/>
        <w:autoSpaceDE w:val="0"/>
        <w:autoSpaceDN w:val="0"/>
        <w:adjustRightInd w:val="0"/>
        <w:spacing w:after="240" w:line="360" w:lineRule="auto"/>
        <w:rPr>
          <w:lang w:val="en-US"/>
        </w:rPr>
      </w:pPr>
    </w:p>
    <w:p w:rsidR="00301561" w:rsidRDefault="00301561" w:rsidP="00695E80">
      <w:pPr>
        <w:pStyle w:val="ListParagraph"/>
        <w:widowControl w:val="0"/>
        <w:autoSpaceDE w:val="0"/>
        <w:autoSpaceDN w:val="0"/>
        <w:adjustRightInd w:val="0"/>
        <w:spacing w:after="240" w:line="360" w:lineRule="auto"/>
        <w:rPr>
          <w:lang w:val="en-US"/>
        </w:rPr>
      </w:pPr>
    </w:p>
    <w:p w:rsidR="00301561" w:rsidRDefault="00301561" w:rsidP="00695E80">
      <w:pPr>
        <w:pStyle w:val="ListParagraph"/>
        <w:widowControl w:val="0"/>
        <w:autoSpaceDE w:val="0"/>
        <w:autoSpaceDN w:val="0"/>
        <w:adjustRightInd w:val="0"/>
        <w:spacing w:after="240" w:line="360" w:lineRule="auto"/>
        <w:rPr>
          <w:lang w:val="en-US"/>
        </w:rPr>
      </w:pPr>
    </w:p>
    <w:p w:rsidR="00301561" w:rsidRDefault="00301561" w:rsidP="00695E80">
      <w:pPr>
        <w:pStyle w:val="ListParagraph"/>
        <w:widowControl w:val="0"/>
        <w:autoSpaceDE w:val="0"/>
        <w:autoSpaceDN w:val="0"/>
        <w:adjustRightInd w:val="0"/>
        <w:spacing w:after="240" w:line="360" w:lineRule="auto"/>
        <w:rPr>
          <w:lang w:val="en-US"/>
        </w:rPr>
      </w:pPr>
    </w:p>
    <w:p w:rsidR="00301561" w:rsidRDefault="00301561" w:rsidP="00695E80">
      <w:pPr>
        <w:pStyle w:val="ListParagraph"/>
        <w:widowControl w:val="0"/>
        <w:autoSpaceDE w:val="0"/>
        <w:autoSpaceDN w:val="0"/>
        <w:adjustRightInd w:val="0"/>
        <w:spacing w:after="240" w:line="360" w:lineRule="auto"/>
        <w:rPr>
          <w:lang w:val="en-US"/>
        </w:rPr>
      </w:pPr>
    </w:p>
    <w:p w:rsidR="00BA00DE" w:rsidRDefault="00BA00DE" w:rsidP="00695E80">
      <w:pPr>
        <w:pStyle w:val="ListParagraph"/>
        <w:widowControl w:val="0"/>
        <w:autoSpaceDE w:val="0"/>
        <w:autoSpaceDN w:val="0"/>
        <w:adjustRightInd w:val="0"/>
        <w:spacing w:after="240" w:line="360" w:lineRule="auto"/>
        <w:rPr>
          <w:lang w:val="en-US"/>
        </w:rPr>
      </w:pPr>
      <w:r>
        <w:rPr>
          <w:lang w:val="en-US"/>
        </w:rPr>
        <w:t>Detailed budget:</w:t>
      </w:r>
    </w:p>
    <w:tbl>
      <w:tblPr>
        <w:tblW w:w="7200" w:type="dxa"/>
        <w:tblInd w:w="817" w:type="dxa"/>
        <w:tblLook w:val="04A0" w:firstRow="1" w:lastRow="0" w:firstColumn="1" w:lastColumn="0" w:noHBand="0" w:noVBand="1"/>
      </w:tblPr>
      <w:tblGrid>
        <w:gridCol w:w="3300"/>
        <w:gridCol w:w="1300"/>
        <w:gridCol w:w="1300"/>
        <w:gridCol w:w="1300"/>
      </w:tblGrid>
      <w:tr w:rsidR="00F62DE6" w:rsidRPr="00F62DE6" w:rsidTr="00F62DE6">
        <w:trPr>
          <w:trHeight w:val="600"/>
        </w:trPr>
        <w:tc>
          <w:tcPr>
            <w:tcW w:w="3300" w:type="dxa"/>
            <w:tcBorders>
              <w:top w:val="single" w:sz="4" w:space="0" w:color="auto"/>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b/>
                <w:bCs/>
                <w:color w:val="000000"/>
                <w:szCs w:val="24"/>
                <w:u w:val="single"/>
                <w:lang w:val="en-US"/>
              </w:rPr>
            </w:pPr>
            <w:r w:rsidRPr="00F62DE6">
              <w:rPr>
                <w:rFonts w:eastAsia="Times New Roman"/>
                <w:b/>
                <w:bCs/>
                <w:color w:val="000000"/>
                <w:szCs w:val="24"/>
                <w:u w:val="single"/>
                <w:lang w:val="en-US"/>
              </w:rPr>
              <w:t>Sociology of knowledge Project</w:t>
            </w:r>
          </w:p>
        </w:tc>
        <w:tc>
          <w:tcPr>
            <w:tcW w:w="1300" w:type="dxa"/>
            <w:tcBorders>
              <w:top w:val="single" w:sz="4" w:space="0" w:color="auto"/>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r w:rsidRPr="00F62DE6">
              <w:rPr>
                <w:rFonts w:ascii="Calibri" w:eastAsia="Times New Roman" w:hAnsi="Calibri"/>
                <w:color w:val="000000"/>
                <w:szCs w:val="24"/>
                <w:lang w:val="en-US"/>
              </w:rPr>
              <w:t> </w:t>
            </w:r>
          </w:p>
        </w:tc>
        <w:tc>
          <w:tcPr>
            <w:tcW w:w="1300" w:type="dxa"/>
            <w:tcBorders>
              <w:top w:val="single" w:sz="4" w:space="0" w:color="auto"/>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c>
          <w:tcPr>
            <w:tcW w:w="1300" w:type="dxa"/>
            <w:tcBorders>
              <w:top w:val="single" w:sz="4" w:space="0" w:color="auto"/>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6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b/>
                <w:bCs/>
                <w:color w:val="000000"/>
                <w:szCs w:val="24"/>
                <w:lang w:val="en-US"/>
              </w:rPr>
            </w:pPr>
            <w:r w:rsidRPr="00F62DE6">
              <w:rPr>
                <w:rFonts w:eastAsia="Times New Roman"/>
                <w:b/>
                <w:bCs/>
                <w:color w:val="000000"/>
                <w:szCs w:val="24"/>
                <w:lang w:val="en-US"/>
              </w:rPr>
              <w:t>Richard Apostle / Tsafrir Gazit trip to Ottawa</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color w:val="000000"/>
                <w:szCs w:val="24"/>
                <w:lang w:val="en-US"/>
              </w:rPr>
            </w:pPr>
            <w:r w:rsidRPr="00F62DE6">
              <w:rPr>
                <w:rFonts w:eastAsia="Times New Roman"/>
                <w:color w:val="000000"/>
                <w:szCs w:val="24"/>
                <w:lang w:val="en-US"/>
              </w:rPr>
              <w:t xml:space="preserve">Travel: </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r w:rsidRPr="00F62DE6">
              <w:rPr>
                <w:rFonts w:ascii="Calibri" w:eastAsia="Times New Roman" w:hAnsi="Calibri"/>
                <w:color w:val="000000"/>
                <w:szCs w:val="24"/>
                <w:lang w:val="en-US"/>
              </w:rPr>
              <w:t>1,200</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color w:val="000000"/>
                <w:szCs w:val="24"/>
                <w:lang w:val="en-US"/>
              </w:rPr>
            </w:pPr>
            <w:r w:rsidRPr="00F62DE6">
              <w:rPr>
                <w:rFonts w:eastAsia="Times New Roman"/>
                <w:color w:val="000000"/>
                <w:szCs w:val="24"/>
                <w:lang w:val="en-US"/>
              </w:rPr>
              <w:t> </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color w:val="000000"/>
                <w:szCs w:val="24"/>
                <w:lang w:val="en-US"/>
              </w:rPr>
            </w:pPr>
            <w:r w:rsidRPr="00F62DE6">
              <w:rPr>
                <w:rFonts w:eastAsia="Times New Roman"/>
                <w:color w:val="000000"/>
                <w:szCs w:val="24"/>
                <w:lang w:val="en-US"/>
              </w:rPr>
              <w:t xml:space="preserve">Accommodation and meal </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r w:rsidRPr="00F62DE6">
              <w:rPr>
                <w:rFonts w:ascii="Calibri" w:eastAsia="Times New Roman" w:hAnsi="Calibri"/>
                <w:color w:val="000000"/>
                <w:szCs w:val="24"/>
                <w:lang w:val="en-US"/>
              </w:rPr>
              <w:t>1,200</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bottom"/>
            <w:hideMark/>
          </w:tcPr>
          <w:p w:rsidR="00F62DE6" w:rsidRPr="00F62DE6" w:rsidRDefault="00F62DE6" w:rsidP="00F62DE6">
            <w:pPr>
              <w:spacing w:after="0" w:line="240" w:lineRule="auto"/>
              <w:rPr>
                <w:rFonts w:ascii="Calibri" w:eastAsia="Times New Roman" w:hAnsi="Calibri"/>
                <w:color w:val="000000"/>
                <w:szCs w:val="24"/>
                <w:lang w:val="en-US"/>
              </w:rPr>
            </w:pPr>
            <w:r w:rsidRPr="00F62DE6">
              <w:rPr>
                <w:rFonts w:ascii="Calibri" w:eastAsia="Times New Roman" w:hAnsi="Calibri"/>
                <w:color w:val="000000"/>
                <w:szCs w:val="24"/>
                <w:lang w:val="en-US"/>
              </w:rPr>
              <w:t> </w:t>
            </w:r>
          </w:p>
        </w:tc>
        <w:tc>
          <w:tcPr>
            <w:tcW w:w="1300" w:type="dxa"/>
            <w:tcBorders>
              <w:top w:val="nil"/>
              <w:left w:val="nil"/>
              <w:bottom w:val="nil"/>
              <w:right w:val="nil"/>
            </w:tcBorders>
            <w:shd w:val="clear" w:color="auto" w:fill="auto"/>
            <w:vAlign w:val="center"/>
            <w:hideMark/>
          </w:tcPr>
          <w:p w:rsidR="00F62DE6" w:rsidRPr="00F62DE6" w:rsidRDefault="00F62DE6" w:rsidP="00F62DE6">
            <w:pPr>
              <w:spacing w:after="0" w:line="240" w:lineRule="auto"/>
              <w:jc w:val="right"/>
              <w:rPr>
                <w:rFonts w:eastAsia="Times New Roman"/>
                <w:b/>
                <w:bCs/>
                <w:color w:val="000000"/>
                <w:szCs w:val="24"/>
                <w:lang w:val="en-US"/>
              </w:rPr>
            </w:pPr>
            <w:r w:rsidRPr="00F62DE6">
              <w:rPr>
                <w:rFonts w:eastAsia="Times New Roman"/>
                <w:b/>
                <w:bCs/>
                <w:color w:val="000000"/>
                <w:szCs w:val="24"/>
                <w:lang w:val="en-US"/>
              </w:rPr>
              <w:t>Total:</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r w:rsidRPr="00F62DE6">
              <w:rPr>
                <w:rFonts w:ascii="Calibri" w:eastAsia="Times New Roman" w:hAnsi="Calibri"/>
                <w:b/>
                <w:bCs/>
                <w:color w:val="000000"/>
                <w:szCs w:val="24"/>
                <w:lang w:val="en-US"/>
              </w:rPr>
              <w:t>2,400</w:t>
            </w: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color w:val="000000"/>
                <w:szCs w:val="24"/>
                <w:lang w:val="en-US"/>
              </w:rPr>
            </w:pPr>
            <w:r w:rsidRPr="00F62DE6">
              <w:rPr>
                <w:rFonts w:eastAsia="Times New Roman"/>
                <w:color w:val="000000"/>
                <w:szCs w:val="24"/>
                <w:lang w:val="en-US"/>
              </w:rPr>
              <w:t> </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6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b/>
                <w:bCs/>
                <w:color w:val="000000"/>
                <w:szCs w:val="24"/>
                <w:lang w:val="en-US"/>
              </w:rPr>
            </w:pPr>
            <w:r w:rsidRPr="00F62DE6">
              <w:rPr>
                <w:rFonts w:eastAsia="Times New Roman"/>
                <w:b/>
                <w:bCs/>
                <w:color w:val="000000"/>
                <w:szCs w:val="24"/>
                <w:lang w:val="en-US"/>
              </w:rPr>
              <w:t>Richard Apostle trip to Newfoundland (5 days)</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color w:val="000000"/>
                <w:szCs w:val="24"/>
                <w:lang w:val="en-US"/>
              </w:rPr>
            </w:pPr>
            <w:r w:rsidRPr="00F62DE6">
              <w:rPr>
                <w:rFonts w:eastAsia="Times New Roman"/>
                <w:color w:val="000000"/>
                <w:szCs w:val="24"/>
                <w:lang w:val="en-US"/>
              </w:rPr>
              <w:t>Travel:</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r w:rsidRPr="00F62DE6">
              <w:rPr>
                <w:rFonts w:ascii="Calibri" w:eastAsia="Times New Roman" w:hAnsi="Calibri"/>
                <w:color w:val="000000"/>
                <w:szCs w:val="24"/>
                <w:lang w:val="en-US"/>
              </w:rPr>
              <w:t>600</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color w:val="000000"/>
                <w:szCs w:val="24"/>
                <w:lang w:val="en-US"/>
              </w:rPr>
            </w:pPr>
            <w:r w:rsidRPr="00F62DE6">
              <w:rPr>
                <w:rFonts w:eastAsia="Times New Roman"/>
                <w:color w:val="000000"/>
                <w:szCs w:val="24"/>
                <w:lang w:val="en-US"/>
              </w:rPr>
              <w:t>Local travel</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r w:rsidRPr="00F62DE6">
              <w:rPr>
                <w:rFonts w:ascii="Calibri" w:eastAsia="Times New Roman" w:hAnsi="Calibri"/>
                <w:color w:val="000000"/>
                <w:szCs w:val="24"/>
                <w:lang w:val="en-US"/>
              </w:rPr>
              <w:t>500</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color w:val="000000"/>
                <w:szCs w:val="24"/>
                <w:lang w:val="en-US"/>
              </w:rPr>
            </w:pPr>
            <w:r w:rsidRPr="00F62DE6">
              <w:rPr>
                <w:rFonts w:eastAsia="Times New Roman"/>
                <w:color w:val="000000"/>
                <w:szCs w:val="24"/>
                <w:lang w:val="en-US"/>
              </w:rPr>
              <w:t xml:space="preserve">Accommodation and meals: </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r w:rsidRPr="00F62DE6">
              <w:rPr>
                <w:rFonts w:ascii="Calibri" w:eastAsia="Times New Roman" w:hAnsi="Calibri"/>
                <w:color w:val="000000"/>
                <w:szCs w:val="24"/>
                <w:lang w:val="en-US"/>
              </w:rPr>
              <w:t>1,125</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nil"/>
              <w:right w:val="nil"/>
            </w:tcBorders>
            <w:shd w:val="clear" w:color="auto" w:fill="auto"/>
            <w:vAlign w:val="center"/>
            <w:hideMark/>
          </w:tcPr>
          <w:p w:rsidR="00F62DE6" w:rsidRPr="00F62DE6" w:rsidRDefault="00F62DE6" w:rsidP="00F62DE6">
            <w:pPr>
              <w:spacing w:after="0" w:line="240" w:lineRule="auto"/>
              <w:rPr>
                <w:rFonts w:eastAsia="Times New Roman"/>
                <w:b/>
                <w:bCs/>
                <w:color w:val="000000"/>
                <w:szCs w:val="24"/>
                <w:lang w:val="en-US"/>
              </w:rPr>
            </w:pPr>
            <w:r w:rsidRPr="00F62DE6">
              <w:rPr>
                <w:rFonts w:eastAsia="Times New Roman"/>
                <w:b/>
                <w:bCs/>
                <w:color w:val="000000"/>
                <w:szCs w:val="24"/>
                <w:lang w:val="en-US"/>
              </w:rPr>
              <w:t> </w:t>
            </w:r>
          </w:p>
        </w:tc>
        <w:tc>
          <w:tcPr>
            <w:tcW w:w="1300" w:type="dxa"/>
            <w:tcBorders>
              <w:top w:val="nil"/>
              <w:left w:val="nil"/>
              <w:bottom w:val="nil"/>
              <w:right w:val="nil"/>
            </w:tcBorders>
            <w:shd w:val="clear" w:color="auto" w:fill="auto"/>
            <w:vAlign w:val="center"/>
            <w:hideMark/>
          </w:tcPr>
          <w:p w:rsidR="00F62DE6" w:rsidRPr="00F62DE6" w:rsidRDefault="00F62DE6" w:rsidP="00F62DE6">
            <w:pPr>
              <w:spacing w:after="0" w:line="240" w:lineRule="auto"/>
              <w:jc w:val="right"/>
              <w:rPr>
                <w:rFonts w:eastAsia="Times New Roman"/>
                <w:b/>
                <w:bCs/>
                <w:color w:val="000000"/>
                <w:szCs w:val="24"/>
                <w:lang w:val="en-US"/>
              </w:rPr>
            </w:pPr>
            <w:r w:rsidRPr="00F62DE6">
              <w:rPr>
                <w:rFonts w:eastAsia="Times New Roman"/>
                <w:b/>
                <w:bCs/>
                <w:color w:val="000000"/>
                <w:szCs w:val="24"/>
                <w:lang w:val="en-US"/>
              </w:rPr>
              <w:t>Total:</w:t>
            </w:r>
          </w:p>
        </w:tc>
        <w:tc>
          <w:tcPr>
            <w:tcW w:w="1300" w:type="dxa"/>
            <w:tcBorders>
              <w:top w:val="nil"/>
              <w:left w:val="nil"/>
              <w:bottom w:val="nil"/>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r w:rsidRPr="00F62DE6">
              <w:rPr>
                <w:rFonts w:ascii="Calibri" w:eastAsia="Times New Roman" w:hAnsi="Calibri"/>
                <w:b/>
                <w:bCs/>
                <w:color w:val="000000"/>
                <w:szCs w:val="24"/>
                <w:lang w:val="en-US"/>
              </w:rPr>
              <w:t>2,225</w:t>
            </w:r>
          </w:p>
        </w:tc>
        <w:tc>
          <w:tcPr>
            <w:tcW w:w="1300" w:type="dxa"/>
            <w:tcBorders>
              <w:top w:val="nil"/>
              <w:left w:val="nil"/>
              <w:bottom w:val="nil"/>
              <w:right w:val="single" w:sz="4" w:space="0" w:color="auto"/>
            </w:tcBorders>
            <w:shd w:val="clear" w:color="auto" w:fill="auto"/>
            <w:vAlign w:val="bottom"/>
            <w:hideMark/>
          </w:tcPr>
          <w:p w:rsidR="00F62DE6" w:rsidRPr="00F62DE6" w:rsidRDefault="00F62DE6" w:rsidP="00F62DE6">
            <w:pPr>
              <w:spacing w:after="0" w:line="240" w:lineRule="auto"/>
              <w:rPr>
                <w:rFonts w:ascii="Calibri" w:eastAsia="Times New Roman" w:hAnsi="Calibri"/>
                <w:b/>
                <w:bCs/>
                <w:color w:val="000000"/>
                <w:szCs w:val="24"/>
                <w:lang w:val="en-US"/>
              </w:rPr>
            </w:pPr>
            <w:r w:rsidRPr="00F62DE6">
              <w:rPr>
                <w:rFonts w:ascii="Calibri" w:eastAsia="Times New Roman" w:hAnsi="Calibri"/>
                <w:b/>
                <w:bCs/>
                <w:color w:val="000000"/>
                <w:szCs w:val="24"/>
                <w:lang w:val="en-US"/>
              </w:rPr>
              <w:t> </w:t>
            </w:r>
          </w:p>
        </w:tc>
      </w:tr>
      <w:tr w:rsidR="00F62DE6" w:rsidRPr="00F62DE6" w:rsidTr="00F62DE6">
        <w:trPr>
          <w:trHeight w:val="300"/>
        </w:trPr>
        <w:tc>
          <w:tcPr>
            <w:tcW w:w="3300" w:type="dxa"/>
            <w:tcBorders>
              <w:top w:val="nil"/>
              <w:left w:val="single" w:sz="4" w:space="0" w:color="auto"/>
              <w:bottom w:val="single" w:sz="4" w:space="0" w:color="auto"/>
              <w:right w:val="nil"/>
            </w:tcBorders>
            <w:shd w:val="clear" w:color="auto" w:fill="auto"/>
            <w:vAlign w:val="bottom"/>
            <w:hideMark/>
          </w:tcPr>
          <w:p w:rsidR="00F62DE6" w:rsidRPr="00F62DE6" w:rsidRDefault="00F62DE6" w:rsidP="00F62DE6">
            <w:pPr>
              <w:spacing w:after="0" w:line="240" w:lineRule="auto"/>
              <w:rPr>
                <w:rFonts w:ascii="Calibri" w:eastAsia="Times New Roman" w:hAnsi="Calibri"/>
                <w:color w:val="000000"/>
                <w:szCs w:val="24"/>
                <w:lang w:val="en-US"/>
              </w:rPr>
            </w:pPr>
            <w:r w:rsidRPr="00F62DE6">
              <w:rPr>
                <w:rFonts w:ascii="Calibri" w:eastAsia="Times New Roman" w:hAnsi="Calibri"/>
                <w:color w:val="000000"/>
                <w:szCs w:val="24"/>
                <w:lang w:val="en-US"/>
              </w:rPr>
              <w:t> </w:t>
            </w:r>
          </w:p>
        </w:tc>
        <w:tc>
          <w:tcPr>
            <w:tcW w:w="1300" w:type="dxa"/>
            <w:tcBorders>
              <w:top w:val="nil"/>
              <w:left w:val="nil"/>
              <w:bottom w:val="single" w:sz="4" w:space="0" w:color="auto"/>
              <w:right w:val="nil"/>
            </w:tcBorders>
            <w:shd w:val="clear" w:color="auto" w:fill="auto"/>
            <w:vAlign w:val="bottom"/>
            <w:hideMark/>
          </w:tcPr>
          <w:p w:rsidR="00F62DE6" w:rsidRPr="00F62DE6" w:rsidRDefault="00F62DE6" w:rsidP="00F62DE6">
            <w:pPr>
              <w:spacing w:after="0" w:line="240" w:lineRule="auto"/>
              <w:jc w:val="right"/>
              <w:rPr>
                <w:rFonts w:ascii="Calibri" w:eastAsia="Times New Roman" w:hAnsi="Calibri"/>
                <w:color w:val="000000"/>
                <w:szCs w:val="24"/>
                <w:lang w:val="en-US"/>
              </w:rPr>
            </w:pPr>
            <w:r w:rsidRPr="00F62DE6">
              <w:rPr>
                <w:rFonts w:ascii="Calibri" w:eastAsia="Times New Roman" w:hAnsi="Calibri"/>
                <w:color w:val="000000"/>
                <w:szCs w:val="24"/>
                <w:lang w:val="en-US"/>
              </w:rPr>
              <w:t> </w:t>
            </w:r>
          </w:p>
        </w:tc>
        <w:tc>
          <w:tcPr>
            <w:tcW w:w="1300" w:type="dxa"/>
            <w:tcBorders>
              <w:top w:val="nil"/>
              <w:left w:val="nil"/>
              <w:bottom w:val="single" w:sz="4" w:space="0" w:color="auto"/>
              <w:right w:val="nil"/>
            </w:tcBorders>
            <w:shd w:val="clear" w:color="auto" w:fill="auto"/>
            <w:vAlign w:val="center"/>
            <w:hideMark/>
          </w:tcPr>
          <w:p w:rsidR="00F62DE6" w:rsidRPr="00F62DE6" w:rsidRDefault="00F62DE6" w:rsidP="00F62DE6">
            <w:pPr>
              <w:spacing w:after="0" w:line="240" w:lineRule="auto"/>
              <w:jc w:val="right"/>
              <w:rPr>
                <w:rFonts w:eastAsia="Times New Roman"/>
                <w:b/>
                <w:bCs/>
                <w:color w:val="000000"/>
                <w:szCs w:val="24"/>
                <w:u w:val="single"/>
                <w:lang w:val="en-US"/>
              </w:rPr>
            </w:pPr>
            <w:r w:rsidRPr="00F62DE6">
              <w:rPr>
                <w:rFonts w:eastAsia="Times New Roman"/>
                <w:b/>
                <w:bCs/>
                <w:color w:val="000000"/>
                <w:szCs w:val="24"/>
                <w:u w:val="single"/>
                <w:lang w:val="en-US"/>
              </w:rPr>
              <w:t>Total:</w:t>
            </w:r>
          </w:p>
        </w:tc>
        <w:tc>
          <w:tcPr>
            <w:tcW w:w="1300" w:type="dxa"/>
            <w:tcBorders>
              <w:top w:val="nil"/>
              <w:left w:val="nil"/>
              <w:bottom w:val="single" w:sz="4" w:space="0" w:color="auto"/>
              <w:right w:val="single" w:sz="4" w:space="0" w:color="auto"/>
            </w:tcBorders>
            <w:shd w:val="clear" w:color="auto" w:fill="auto"/>
            <w:noWrap/>
            <w:vAlign w:val="bottom"/>
            <w:hideMark/>
          </w:tcPr>
          <w:p w:rsidR="00F62DE6" w:rsidRPr="00F62DE6" w:rsidRDefault="00F62DE6" w:rsidP="00F62DE6">
            <w:pPr>
              <w:spacing w:after="0" w:line="240" w:lineRule="auto"/>
              <w:jc w:val="right"/>
              <w:rPr>
                <w:rFonts w:ascii="Calibri" w:eastAsia="Times New Roman" w:hAnsi="Calibri"/>
                <w:b/>
                <w:bCs/>
                <w:color w:val="000000"/>
                <w:szCs w:val="24"/>
                <w:lang w:val="en-US"/>
              </w:rPr>
            </w:pPr>
            <w:r w:rsidRPr="00F62DE6">
              <w:rPr>
                <w:rFonts w:ascii="Calibri" w:eastAsia="Times New Roman" w:hAnsi="Calibri"/>
                <w:b/>
                <w:bCs/>
                <w:color w:val="000000"/>
                <w:szCs w:val="24"/>
                <w:lang w:val="en-US"/>
              </w:rPr>
              <w:t>$4,625</w:t>
            </w:r>
          </w:p>
        </w:tc>
      </w:tr>
    </w:tbl>
    <w:p w:rsidR="00695E80" w:rsidRPr="00695E80" w:rsidRDefault="00695E80" w:rsidP="00695E80">
      <w:pPr>
        <w:pStyle w:val="ListParagraph"/>
        <w:widowControl w:val="0"/>
        <w:autoSpaceDE w:val="0"/>
        <w:autoSpaceDN w:val="0"/>
        <w:adjustRightInd w:val="0"/>
        <w:spacing w:after="240" w:line="360" w:lineRule="auto"/>
        <w:rPr>
          <w:lang w:val="en-US"/>
        </w:rPr>
      </w:pPr>
      <w:r>
        <w:rPr>
          <w:lang w:val="en-US"/>
        </w:rPr>
        <w:t xml:space="preserve"> </w:t>
      </w:r>
    </w:p>
    <w:p w:rsidR="00CD10B2" w:rsidRPr="00BE635B" w:rsidRDefault="00B16442" w:rsidP="00695E80">
      <w:pPr>
        <w:spacing w:line="360" w:lineRule="auto"/>
        <w:ind w:left="284" w:hanging="284"/>
        <w:rPr>
          <w:rFonts w:eastAsiaTheme="minorEastAsia"/>
          <w:szCs w:val="24"/>
          <w:lang w:val="en-US" w:eastAsia="ja-JP"/>
        </w:rPr>
      </w:pPr>
      <w:r>
        <w:rPr>
          <w:rFonts w:eastAsiaTheme="minorEastAsia"/>
          <w:szCs w:val="24"/>
          <w:lang w:val="en-US" w:eastAsia="ja-JP"/>
        </w:rPr>
        <w:t xml:space="preserve">    </w:t>
      </w:r>
      <w:r w:rsidR="00CD10B2" w:rsidRPr="00BE635B">
        <w:rPr>
          <w:rFonts w:eastAsiaTheme="minorEastAsia"/>
          <w:szCs w:val="24"/>
          <w:lang w:val="en-US" w:eastAsia="ja-JP"/>
        </w:rPr>
        <w:t xml:space="preserve"> Since questions may arise concerning the excellent comparative project </w:t>
      </w:r>
      <w:r w:rsidR="00CB6C29">
        <w:rPr>
          <w:rFonts w:eastAsiaTheme="minorEastAsia"/>
          <w:szCs w:val="24"/>
          <w:lang w:val="en-US" w:eastAsia="ja-JP"/>
        </w:rPr>
        <w:t xml:space="preserve">on Atlantic and Pacific salmon that </w:t>
      </w:r>
      <w:r w:rsidR="00CD10B2" w:rsidRPr="00BE635B">
        <w:rPr>
          <w:rFonts w:eastAsiaTheme="minorEastAsia"/>
          <w:szCs w:val="24"/>
          <w:lang w:val="en-US" w:eastAsia="ja-JP"/>
        </w:rPr>
        <w:t xml:space="preserve">Nathan Young and John </w:t>
      </w:r>
      <w:proofErr w:type="spellStart"/>
      <w:r w:rsidR="00CD10B2" w:rsidRPr="00BE635B">
        <w:rPr>
          <w:rFonts w:eastAsiaTheme="minorEastAsia"/>
          <w:szCs w:val="24"/>
          <w:lang w:val="en-US" w:eastAsia="ja-JP"/>
        </w:rPr>
        <w:t>Phyne</w:t>
      </w:r>
      <w:proofErr w:type="spellEnd"/>
      <w:r w:rsidR="00CD10B2" w:rsidRPr="00BE635B">
        <w:rPr>
          <w:rFonts w:eastAsiaTheme="minorEastAsia"/>
          <w:szCs w:val="24"/>
          <w:lang w:val="en-US" w:eastAsia="ja-JP"/>
        </w:rPr>
        <w:t xml:space="preserve"> were preparing, we have appended a letter from Nathan and John which explain</w:t>
      </w:r>
      <w:r w:rsidR="00C64DE8">
        <w:rPr>
          <w:rFonts w:eastAsiaTheme="minorEastAsia"/>
          <w:szCs w:val="24"/>
          <w:lang w:val="en-US" w:eastAsia="ja-JP"/>
        </w:rPr>
        <w:t>s</w:t>
      </w:r>
      <w:r w:rsidR="00CD10B2" w:rsidRPr="00BE635B">
        <w:rPr>
          <w:rFonts w:eastAsiaTheme="minorEastAsia"/>
          <w:szCs w:val="24"/>
          <w:lang w:val="en-US" w:eastAsia="ja-JP"/>
        </w:rPr>
        <w:t xml:space="preserve"> their withdrawal from the network</w:t>
      </w:r>
      <w:r w:rsidR="009D50C7">
        <w:rPr>
          <w:rFonts w:eastAsiaTheme="minorEastAsia"/>
          <w:szCs w:val="24"/>
          <w:lang w:val="en-US" w:eastAsia="ja-JP"/>
        </w:rPr>
        <w:t xml:space="preserve"> (see the attached file</w:t>
      </w:r>
      <w:r w:rsidR="00CD10B2" w:rsidRPr="00BE635B">
        <w:rPr>
          <w:rFonts w:eastAsiaTheme="minorEastAsia"/>
          <w:szCs w:val="24"/>
          <w:lang w:val="en-US" w:eastAsia="ja-JP"/>
        </w:rPr>
        <w:t xml:space="preserve">.  </w:t>
      </w:r>
    </w:p>
    <w:p w:rsidR="00CD10B2" w:rsidRDefault="00CD10B2" w:rsidP="00BE635B">
      <w:pPr>
        <w:spacing w:line="360" w:lineRule="auto"/>
        <w:rPr>
          <w:rFonts w:eastAsiaTheme="minorEastAsia"/>
          <w:szCs w:val="24"/>
          <w:lang w:val="en-US" w:eastAsia="ja-JP"/>
        </w:rPr>
      </w:pPr>
    </w:p>
    <w:p w:rsidR="000C30E0" w:rsidRDefault="000C30E0" w:rsidP="00BE635B">
      <w:pPr>
        <w:spacing w:line="360" w:lineRule="auto"/>
        <w:rPr>
          <w:rFonts w:eastAsiaTheme="minorEastAsia"/>
          <w:szCs w:val="24"/>
          <w:lang w:val="en-US" w:eastAsia="ja-JP"/>
        </w:rPr>
      </w:pPr>
    </w:p>
    <w:p w:rsidR="000C30E0" w:rsidRDefault="000C30E0" w:rsidP="00BE635B">
      <w:pPr>
        <w:spacing w:line="360" w:lineRule="auto"/>
        <w:rPr>
          <w:rFonts w:eastAsiaTheme="minorEastAsia"/>
          <w:szCs w:val="24"/>
          <w:lang w:val="en-US" w:eastAsia="ja-JP"/>
        </w:rPr>
      </w:pPr>
    </w:p>
    <w:p w:rsidR="000C30E0" w:rsidRDefault="000C30E0" w:rsidP="00BE635B">
      <w:pPr>
        <w:spacing w:line="360" w:lineRule="auto"/>
        <w:rPr>
          <w:rFonts w:eastAsiaTheme="minorEastAsia"/>
          <w:szCs w:val="24"/>
          <w:lang w:val="en-US" w:eastAsia="ja-JP"/>
        </w:rPr>
      </w:pPr>
    </w:p>
    <w:p w:rsidR="000C30E0" w:rsidRDefault="000C30E0" w:rsidP="00BE635B">
      <w:pPr>
        <w:spacing w:line="360" w:lineRule="auto"/>
        <w:rPr>
          <w:rFonts w:eastAsiaTheme="minorEastAsia"/>
          <w:szCs w:val="24"/>
          <w:lang w:val="en-US" w:eastAsia="ja-JP"/>
        </w:rPr>
      </w:pPr>
    </w:p>
    <w:p w:rsidR="00D33FAC" w:rsidRDefault="00D33FAC" w:rsidP="00BE635B">
      <w:pPr>
        <w:spacing w:line="360" w:lineRule="auto"/>
      </w:pPr>
    </w:p>
    <w:p w:rsidR="00C64DE8" w:rsidRDefault="00C64DE8" w:rsidP="00BE635B">
      <w:pPr>
        <w:spacing w:line="360" w:lineRule="auto"/>
      </w:pPr>
    </w:p>
    <w:p w:rsidR="00C64DE8" w:rsidRDefault="00C64DE8" w:rsidP="00BE635B">
      <w:pPr>
        <w:spacing w:line="360" w:lineRule="auto"/>
      </w:pPr>
    </w:p>
    <w:p w:rsidR="00C64DE8" w:rsidRDefault="00C64DE8" w:rsidP="00C64DE8">
      <w:r>
        <w:t>Monday, October 7, 2013</w:t>
      </w:r>
    </w:p>
    <w:p w:rsidR="00C64DE8" w:rsidRDefault="00C64DE8" w:rsidP="00C64DE8"/>
    <w:p w:rsidR="00C64DE8" w:rsidRDefault="00C64DE8" w:rsidP="00C64DE8">
      <w:r>
        <w:t>Dear Richard and David,</w:t>
      </w:r>
    </w:p>
    <w:p w:rsidR="00C64DE8" w:rsidRDefault="00C64DE8" w:rsidP="00C64DE8">
      <w:pPr>
        <w:jc w:val="both"/>
      </w:pPr>
      <w:r>
        <w:t>We are glad that you think highly of the proposal text that we wrote in anticipation of the Phase II funding cycle for OTN. Unfortunately, in crafting the proposal, we misunderstood the resources that were dedicated to the social science dimension of the call – leading us to vastly overestimate our capacity to do the research.</w:t>
      </w:r>
    </w:p>
    <w:p w:rsidR="00C64DE8" w:rsidRDefault="00C64DE8" w:rsidP="00C64DE8">
      <w:pPr>
        <w:jc w:val="both"/>
      </w:pPr>
      <w:r>
        <w:t>Learning that the budget for our salmon research would be truly minimal, at ~22k over 3-5 years, changes things considerably. With RA rates at the University of Ottawa running at around $40/</w:t>
      </w:r>
      <w:proofErr w:type="spellStart"/>
      <w:r>
        <w:t>hr</w:t>
      </w:r>
      <w:proofErr w:type="spellEnd"/>
      <w:r>
        <w:t xml:space="preserve">, we would have to choose between having an RA (but for an extremely limited time) and actually doing the fieldwork. In either circumstance, it would inevitably fall on us to complete the research without much assistance. Moreover, we did not want to engage in minimal field-work on both the East and West Coasts. As you are both aware, field research usually involves at least two trips to a particular setting. In the cold light of rational </w:t>
      </w:r>
      <w:r>
        <w:lastRenderedPageBreak/>
        <w:t xml:space="preserve">time management, this just isn’t possible for the both of us. Nathan Young is currently involved in two other research projects, with the possibility of one or two more coming on line in the coming year. John </w:t>
      </w:r>
      <w:proofErr w:type="spellStart"/>
      <w:r>
        <w:t>Phyne</w:t>
      </w:r>
      <w:proofErr w:type="spellEnd"/>
      <w:r>
        <w:t xml:space="preserve"> is also involved in a research project on St. John’s with the possibility of being involved in another project that dovetails with that research.  We simply cannot commit to two research projects that are not adequately supported, and for which there is little possibility of RA help that can be appropriately used for both projects.</w:t>
      </w:r>
    </w:p>
    <w:p w:rsidR="00C64DE8" w:rsidRDefault="00C64DE8" w:rsidP="00C64DE8">
      <w:pPr>
        <w:jc w:val="both"/>
      </w:pPr>
      <w:r>
        <w:t>We understand that you are both also frustrated with the funding situation. We have very much enjoyed working with you on these projects, and hope to have to opportunity to do so again. The decision to drop the proposal is instrumental, not personal. Our impression from afar, however, is that OTN seems happy enough to be affiliated with social scientists to enhance their own legitimacy, but at the end of the day doesn’t see this work as being terribly important. We suppose that is a loss for all of us. The funding that OTN seems to believe as adequate for social science work demonstrates either a complete misunderstanding of the resources we need for doing our work, or a mere indifference for what we are doing. Both of us feel that this entire process is a protracted and frustrating endeavour.</w:t>
      </w:r>
    </w:p>
    <w:p w:rsidR="00C64DE8" w:rsidRDefault="00C64DE8" w:rsidP="00C64DE8">
      <w:pPr>
        <w:jc w:val="both"/>
      </w:pPr>
      <w:r>
        <w:t>We reiterate that our position, in no way, reflects on the both of you. We appreciate the work that you have done to this point and thank you for wanting to have us involved. Perhaps, in the future, we can work on other endeavours where the appreciation for social science work is much higher.</w:t>
      </w:r>
    </w:p>
    <w:p w:rsidR="00C64DE8" w:rsidRDefault="00C64DE8" w:rsidP="00C64DE8">
      <w:pPr>
        <w:jc w:val="both"/>
      </w:pPr>
      <w:r>
        <w:t>Feel free to share these thoughts with the powers to be at OTN.</w:t>
      </w:r>
    </w:p>
    <w:p w:rsidR="00C64DE8" w:rsidRDefault="00C64DE8" w:rsidP="00C64DE8">
      <w:pPr>
        <w:jc w:val="both"/>
      </w:pPr>
      <w:r>
        <w:t>Yours Sincerely,</w:t>
      </w:r>
    </w:p>
    <w:p w:rsidR="00C64DE8" w:rsidRDefault="00C64DE8" w:rsidP="00C64DE8">
      <w:pPr>
        <w:jc w:val="both"/>
      </w:pPr>
    </w:p>
    <w:p w:rsidR="00C64DE8" w:rsidRDefault="00C64DE8" w:rsidP="00C64DE8">
      <w:pPr>
        <w:jc w:val="both"/>
      </w:pPr>
      <w:r>
        <w:t xml:space="preserve">John </w:t>
      </w:r>
      <w:proofErr w:type="spellStart"/>
      <w:r>
        <w:t>Phyne</w:t>
      </w:r>
      <w:proofErr w:type="spellEnd"/>
      <w:r>
        <w:t xml:space="preserve">                                                                               Nathan Young                           </w:t>
      </w:r>
    </w:p>
    <w:p w:rsidR="00C64DE8" w:rsidRDefault="00C64DE8" w:rsidP="00C20752">
      <w:pPr>
        <w:spacing w:line="240" w:lineRule="auto"/>
        <w:jc w:val="both"/>
      </w:pPr>
      <w:r>
        <w:t xml:space="preserve">Professor                                                                                   Associate Professor     </w:t>
      </w:r>
    </w:p>
    <w:p w:rsidR="00C64DE8" w:rsidRPr="00BE635B" w:rsidRDefault="00C64DE8" w:rsidP="00C20752">
      <w:pPr>
        <w:spacing w:line="240" w:lineRule="auto"/>
        <w:jc w:val="both"/>
      </w:pPr>
      <w:r>
        <w:t>St. Francis Xavier University                                                   University of Ottawa</w:t>
      </w:r>
    </w:p>
    <w:sectPr w:rsidR="00C64DE8" w:rsidRPr="00BE635B" w:rsidSect="00915156">
      <w:pgSz w:w="12240" w:h="15840"/>
      <w:pgMar w:top="2127" w:right="146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01"/>
    <w:multiLevelType w:val="hybridMultilevel"/>
    <w:tmpl w:val="ABAA4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7697B"/>
    <w:multiLevelType w:val="multilevel"/>
    <w:tmpl w:val="95766E9C"/>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D830AC"/>
    <w:multiLevelType w:val="multilevel"/>
    <w:tmpl w:val="347E44E6"/>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
    <w:nsid w:val="25D51AC9"/>
    <w:multiLevelType w:val="hybridMultilevel"/>
    <w:tmpl w:val="9E0EFCB4"/>
    <w:lvl w:ilvl="0" w:tplc="0AD84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A182B"/>
    <w:multiLevelType w:val="multilevel"/>
    <w:tmpl w:val="3574091E"/>
    <w:lvl w:ilvl="0">
      <w:start w:val="1"/>
      <w:numFmt w:val="decimal"/>
      <w:lvlText w:val="%1"/>
      <w:lvlJc w:val="left"/>
      <w:pPr>
        <w:ind w:left="375" w:hanging="432"/>
      </w:pPr>
    </w:lvl>
    <w:lvl w:ilvl="1">
      <w:start w:val="1"/>
      <w:numFmt w:val="decimal"/>
      <w:lvlText w:val="%1.%2"/>
      <w:lvlJc w:val="left"/>
      <w:pPr>
        <w:ind w:left="519" w:hanging="576"/>
      </w:pPr>
    </w:lvl>
    <w:lvl w:ilvl="2">
      <w:start w:val="1"/>
      <w:numFmt w:val="decimal"/>
      <w:lvlText w:val="%1.%2.%3"/>
      <w:lvlJc w:val="left"/>
      <w:pPr>
        <w:ind w:left="663" w:hanging="720"/>
      </w:pPr>
    </w:lvl>
    <w:lvl w:ilvl="3">
      <w:start w:val="1"/>
      <w:numFmt w:val="decimal"/>
      <w:lvlText w:val="%1.%2.%3.%4"/>
      <w:lvlJc w:val="left"/>
      <w:pPr>
        <w:ind w:left="807" w:hanging="864"/>
      </w:pPr>
    </w:lvl>
    <w:lvl w:ilvl="4">
      <w:start w:val="1"/>
      <w:numFmt w:val="decimal"/>
      <w:lvlText w:val="%1.%2.%3.%4.%5"/>
      <w:lvlJc w:val="left"/>
      <w:pPr>
        <w:ind w:left="951" w:hanging="1008"/>
      </w:pPr>
    </w:lvl>
    <w:lvl w:ilvl="5">
      <w:start w:val="1"/>
      <w:numFmt w:val="decimal"/>
      <w:lvlText w:val="%1.%2.%3.%4.%5.%6"/>
      <w:lvlJc w:val="left"/>
      <w:pPr>
        <w:ind w:left="1095" w:hanging="1152"/>
      </w:pPr>
    </w:lvl>
    <w:lvl w:ilvl="6">
      <w:start w:val="1"/>
      <w:numFmt w:val="decimal"/>
      <w:lvlText w:val="%1.%2.%3.%4.%5.%6.%7"/>
      <w:lvlJc w:val="left"/>
      <w:pPr>
        <w:ind w:left="1239" w:hanging="1296"/>
      </w:pPr>
    </w:lvl>
    <w:lvl w:ilvl="7">
      <w:start w:val="1"/>
      <w:numFmt w:val="decimal"/>
      <w:lvlText w:val="%1.%2.%3.%4.%5.%6.%7.%8"/>
      <w:lvlJc w:val="left"/>
      <w:pPr>
        <w:ind w:left="1383" w:hanging="1440"/>
      </w:pPr>
    </w:lvl>
    <w:lvl w:ilvl="8">
      <w:start w:val="1"/>
      <w:numFmt w:val="decimal"/>
      <w:lvlText w:val="%1.%2.%3.%4.%5.%6.%7.%8.%9"/>
      <w:lvlJc w:val="left"/>
      <w:pPr>
        <w:ind w:left="1527" w:hanging="1584"/>
      </w:pPr>
    </w:lvl>
  </w:abstractNum>
  <w:abstractNum w:abstractNumId="5">
    <w:nsid w:val="37062D76"/>
    <w:multiLevelType w:val="hybridMultilevel"/>
    <w:tmpl w:val="6526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64E7D"/>
    <w:multiLevelType w:val="multilevel"/>
    <w:tmpl w:val="DCFA1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B167D5"/>
    <w:multiLevelType w:val="hybridMultilevel"/>
    <w:tmpl w:val="23BC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DE6801"/>
    <w:multiLevelType w:val="hybridMultilevel"/>
    <w:tmpl w:val="936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A5D6F"/>
    <w:multiLevelType w:val="hybridMultilevel"/>
    <w:tmpl w:val="88F45B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6302D1"/>
    <w:multiLevelType w:val="hybridMultilevel"/>
    <w:tmpl w:val="D7A2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F25081"/>
    <w:multiLevelType w:val="multilevel"/>
    <w:tmpl w:val="B626556E"/>
    <w:lvl w:ilvl="0">
      <w:start w:val="1"/>
      <w:numFmt w:val="decimal"/>
      <w:lvlText w:val="%1."/>
      <w:lvlJc w:val="left"/>
      <w:pPr>
        <w:ind w:left="354" w:hanging="360"/>
      </w:pPr>
    </w:lvl>
    <w:lvl w:ilvl="1">
      <w:start w:val="1"/>
      <w:numFmt w:val="decimal"/>
      <w:lvlText w:val="%1.%2."/>
      <w:lvlJc w:val="left"/>
      <w:pPr>
        <w:ind w:left="786" w:hanging="432"/>
      </w:pPr>
    </w:lvl>
    <w:lvl w:ilvl="2">
      <w:start w:val="1"/>
      <w:numFmt w:val="decimal"/>
      <w:lvlText w:val="%1.%2.%3."/>
      <w:lvlJc w:val="left"/>
      <w:pPr>
        <w:ind w:left="1218" w:hanging="504"/>
      </w:pPr>
    </w:lvl>
    <w:lvl w:ilvl="3">
      <w:start w:val="1"/>
      <w:numFmt w:val="decimal"/>
      <w:lvlText w:val="%1.%2.%3.%4."/>
      <w:lvlJc w:val="left"/>
      <w:pPr>
        <w:ind w:left="1722" w:hanging="648"/>
      </w:pPr>
    </w:lvl>
    <w:lvl w:ilvl="4">
      <w:start w:val="1"/>
      <w:numFmt w:val="decimal"/>
      <w:lvlText w:val="%1.%2.%3.%4.%5."/>
      <w:lvlJc w:val="left"/>
      <w:pPr>
        <w:ind w:left="2226" w:hanging="792"/>
      </w:pPr>
    </w:lvl>
    <w:lvl w:ilvl="5">
      <w:start w:val="1"/>
      <w:numFmt w:val="decimal"/>
      <w:lvlText w:val="%1.%2.%3.%4.%5.%6."/>
      <w:lvlJc w:val="left"/>
      <w:pPr>
        <w:ind w:left="2730" w:hanging="936"/>
      </w:pPr>
    </w:lvl>
    <w:lvl w:ilvl="6">
      <w:start w:val="1"/>
      <w:numFmt w:val="decimal"/>
      <w:lvlText w:val="%1.%2.%3.%4.%5.%6.%7."/>
      <w:lvlJc w:val="left"/>
      <w:pPr>
        <w:ind w:left="3234" w:hanging="1080"/>
      </w:pPr>
    </w:lvl>
    <w:lvl w:ilvl="7">
      <w:start w:val="1"/>
      <w:numFmt w:val="decimal"/>
      <w:lvlText w:val="%1.%2.%3.%4.%5.%6.%7.%8."/>
      <w:lvlJc w:val="left"/>
      <w:pPr>
        <w:ind w:left="3738" w:hanging="1224"/>
      </w:pPr>
    </w:lvl>
    <w:lvl w:ilvl="8">
      <w:start w:val="1"/>
      <w:numFmt w:val="decimal"/>
      <w:lvlText w:val="%1.%2.%3.%4.%5.%6.%7.%8.%9."/>
      <w:lvlJc w:val="left"/>
      <w:pPr>
        <w:ind w:left="4314" w:hanging="1440"/>
      </w:pPr>
    </w:lvl>
  </w:abstractNum>
  <w:abstractNum w:abstractNumId="12">
    <w:nsid w:val="79E80E85"/>
    <w:multiLevelType w:val="multilevel"/>
    <w:tmpl w:val="61068F2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3">
    <w:nsid w:val="7C5471D3"/>
    <w:multiLevelType w:val="hybridMultilevel"/>
    <w:tmpl w:val="032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12"/>
  </w:num>
  <w:num w:numId="5">
    <w:abstractNumId w:val="12"/>
  </w:num>
  <w:num w:numId="6">
    <w:abstractNumId w:val="12"/>
  </w:num>
  <w:num w:numId="7">
    <w:abstractNumId w:val="12"/>
  </w:num>
  <w:num w:numId="8">
    <w:abstractNumId w:val="3"/>
  </w:num>
  <w:num w:numId="9">
    <w:abstractNumId w:val="3"/>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4"/>
  </w:num>
  <w:num w:numId="21">
    <w:abstractNumId w:val="4"/>
  </w:num>
  <w:num w:numId="22">
    <w:abstractNumId w:val="4"/>
  </w:num>
  <w:num w:numId="23">
    <w:abstractNumId w:val="2"/>
  </w:num>
  <w:num w:numId="24">
    <w:abstractNumId w:val="4"/>
  </w:num>
  <w:num w:numId="25">
    <w:abstractNumId w:val="4"/>
  </w:num>
  <w:num w:numId="26">
    <w:abstractNumId w:val="4"/>
  </w:num>
  <w:num w:numId="27">
    <w:abstractNumId w:val="13"/>
  </w:num>
  <w:num w:numId="28">
    <w:abstractNumId w:val="10"/>
  </w:num>
  <w:num w:numId="29">
    <w:abstractNumId w:val="8"/>
  </w:num>
  <w:num w:numId="30">
    <w:abstractNumId w:val="0"/>
  </w:num>
  <w:num w:numId="31">
    <w:abstractNumId w:val="5"/>
  </w:num>
  <w:num w:numId="32">
    <w:abstractNumId w:val="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AC"/>
    <w:rsid w:val="000228AD"/>
    <w:rsid w:val="00032E69"/>
    <w:rsid w:val="00056A1A"/>
    <w:rsid w:val="000A7F90"/>
    <w:rsid w:val="000C30E0"/>
    <w:rsid w:val="00102349"/>
    <w:rsid w:val="0011124C"/>
    <w:rsid w:val="00181E01"/>
    <w:rsid w:val="001C22DA"/>
    <w:rsid w:val="002A5463"/>
    <w:rsid w:val="00301561"/>
    <w:rsid w:val="00305188"/>
    <w:rsid w:val="00361980"/>
    <w:rsid w:val="003B664D"/>
    <w:rsid w:val="00452ED9"/>
    <w:rsid w:val="004948EF"/>
    <w:rsid w:val="004A5017"/>
    <w:rsid w:val="004C616D"/>
    <w:rsid w:val="004E3EE4"/>
    <w:rsid w:val="005A6B5A"/>
    <w:rsid w:val="00623998"/>
    <w:rsid w:val="00643291"/>
    <w:rsid w:val="00670983"/>
    <w:rsid w:val="00695E80"/>
    <w:rsid w:val="006D761D"/>
    <w:rsid w:val="006E6C42"/>
    <w:rsid w:val="007113F9"/>
    <w:rsid w:val="007D38E7"/>
    <w:rsid w:val="007F7BBB"/>
    <w:rsid w:val="0082345F"/>
    <w:rsid w:val="00896A3C"/>
    <w:rsid w:val="008A6082"/>
    <w:rsid w:val="009104D0"/>
    <w:rsid w:val="00915156"/>
    <w:rsid w:val="009837EC"/>
    <w:rsid w:val="009B34F7"/>
    <w:rsid w:val="009D50C7"/>
    <w:rsid w:val="00A7745C"/>
    <w:rsid w:val="00A94D32"/>
    <w:rsid w:val="00AF6A2D"/>
    <w:rsid w:val="00B16442"/>
    <w:rsid w:val="00BA00DE"/>
    <w:rsid w:val="00BE635B"/>
    <w:rsid w:val="00C20752"/>
    <w:rsid w:val="00C64DE8"/>
    <w:rsid w:val="00CB6C29"/>
    <w:rsid w:val="00CD10B2"/>
    <w:rsid w:val="00D00133"/>
    <w:rsid w:val="00D33FAC"/>
    <w:rsid w:val="00EA6783"/>
    <w:rsid w:val="00F62DE6"/>
    <w:rsid w:val="00F836BC"/>
    <w:rsid w:val="00FB0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DA"/>
    <w:pPr>
      <w:spacing w:after="200" w:line="480" w:lineRule="auto"/>
    </w:pPr>
    <w:rPr>
      <w:rFonts w:ascii="Times New Roman" w:eastAsia="Calibri" w:hAnsi="Times New Roman" w:cs="Times New Roman"/>
      <w:szCs w:val="22"/>
      <w:lang w:val="en-CA" w:eastAsia="en-US"/>
    </w:rPr>
  </w:style>
  <w:style w:type="paragraph" w:styleId="Heading1">
    <w:name w:val="heading 1"/>
    <w:basedOn w:val="Normal"/>
    <w:next w:val="Normal"/>
    <w:link w:val="Heading1Char"/>
    <w:autoRedefine/>
    <w:qFormat/>
    <w:rsid w:val="00AF6A2D"/>
    <w:pPr>
      <w:keepNext/>
      <w:keepLines/>
      <w:spacing w:before="480" w:line="240" w:lineRule="auto"/>
      <w:outlineLvl w:val="0"/>
    </w:pPr>
    <w:rPr>
      <w:rFonts w:ascii="Arial" w:eastAsiaTheme="majorEastAsia" w:hAnsi="Arial" w:cstheme="majorBidi"/>
      <w:b/>
      <w:bCs/>
      <w:sz w:val="28"/>
      <w:szCs w:val="32"/>
      <w:lang w:eastAsia="ja-JP"/>
    </w:rPr>
  </w:style>
  <w:style w:type="paragraph" w:styleId="Heading2">
    <w:name w:val="heading 2"/>
    <w:basedOn w:val="Normal"/>
    <w:next w:val="Normal"/>
    <w:link w:val="Heading2Char"/>
    <w:autoRedefine/>
    <w:uiPriority w:val="9"/>
    <w:unhideWhenUsed/>
    <w:qFormat/>
    <w:rsid w:val="00AF6A2D"/>
    <w:pPr>
      <w:keepNext/>
      <w:keepLines/>
      <w:spacing w:before="200" w:line="240" w:lineRule="auto"/>
      <w:outlineLvl w:val="1"/>
    </w:pPr>
    <w:rPr>
      <w:rFonts w:ascii="Arial" w:eastAsiaTheme="majorEastAsia" w:hAnsi="Arial" w:cstheme="majorBidi"/>
      <w:bCs/>
      <w:szCs w:val="28"/>
      <w:lang w:eastAsia="ja-JP"/>
    </w:rPr>
  </w:style>
  <w:style w:type="paragraph" w:styleId="Heading3">
    <w:name w:val="heading 3"/>
    <w:basedOn w:val="Normal"/>
    <w:next w:val="Normal"/>
    <w:link w:val="Heading3Char"/>
    <w:autoRedefine/>
    <w:uiPriority w:val="9"/>
    <w:unhideWhenUsed/>
    <w:qFormat/>
    <w:rsid w:val="00AF6A2D"/>
    <w:pPr>
      <w:keepNext/>
      <w:keepLines/>
      <w:spacing w:before="200" w:line="240" w:lineRule="auto"/>
      <w:ind w:firstLine="567"/>
      <w:outlineLvl w:val="2"/>
    </w:pPr>
    <w:rPr>
      <w:rFonts w:ascii="Arial" w:eastAsiaTheme="majorEastAsia" w:hAnsi="Arial" w:cstheme="majorBidi"/>
      <w:bCs/>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A2D"/>
    <w:rPr>
      <w:rFonts w:ascii="Arial" w:eastAsiaTheme="majorEastAsia" w:hAnsi="Arial" w:cstheme="majorBidi"/>
      <w:b/>
      <w:bCs/>
      <w:sz w:val="28"/>
      <w:szCs w:val="32"/>
      <w:lang w:val="en-CA"/>
    </w:rPr>
  </w:style>
  <w:style w:type="character" w:customStyle="1" w:styleId="Heading2Char">
    <w:name w:val="Heading 2 Char"/>
    <w:basedOn w:val="DefaultParagraphFont"/>
    <w:link w:val="Heading2"/>
    <w:uiPriority w:val="9"/>
    <w:rsid w:val="00AF6A2D"/>
    <w:rPr>
      <w:rFonts w:ascii="Arial" w:eastAsiaTheme="majorEastAsia" w:hAnsi="Arial" w:cstheme="majorBidi"/>
      <w:bCs/>
      <w:szCs w:val="28"/>
      <w:lang w:val="en-CA"/>
    </w:rPr>
  </w:style>
  <w:style w:type="character" w:customStyle="1" w:styleId="Heading3Char">
    <w:name w:val="Heading 3 Char"/>
    <w:basedOn w:val="DefaultParagraphFont"/>
    <w:link w:val="Heading3"/>
    <w:uiPriority w:val="9"/>
    <w:rsid w:val="00AF6A2D"/>
    <w:rPr>
      <w:rFonts w:ascii="Arial" w:eastAsiaTheme="majorEastAsia" w:hAnsi="Arial" w:cstheme="majorBidi"/>
      <w:bCs/>
      <w:lang w:val="en-CA"/>
    </w:rPr>
  </w:style>
  <w:style w:type="paragraph" w:styleId="FootnoteText">
    <w:name w:val="footnote text"/>
    <w:basedOn w:val="Normal"/>
    <w:link w:val="FootnoteTextChar"/>
    <w:autoRedefine/>
    <w:uiPriority w:val="99"/>
    <w:unhideWhenUsed/>
    <w:qFormat/>
    <w:rsid w:val="00AF6A2D"/>
    <w:pPr>
      <w:spacing w:after="0" w:line="240" w:lineRule="auto"/>
      <w:ind w:left="170" w:hanging="170"/>
    </w:pPr>
    <w:rPr>
      <w:rFonts w:eastAsiaTheme="minorHAnsi" w:cstheme="minorBidi"/>
      <w:sz w:val="20"/>
      <w:szCs w:val="24"/>
      <w:lang w:eastAsia="ja-JP"/>
    </w:rPr>
  </w:style>
  <w:style w:type="character" w:customStyle="1" w:styleId="FootnoteTextChar">
    <w:name w:val="Footnote Text Char"/>
    <w:basedOn w:val="DefaultParagraphFont"/>
    <w:link w:val="FootnoteText"/>
    <w:uiPriority w:val="99"/>
    <w:rsid w:val="00AF6A2D"/>
    <w:rPr>
      <w:rFonts w:ascii="Times New Roman" w:eastAsiaTheme="minorHAnsi" w:hAnsi="Times New Roman"/>
      <w:sz w:val="20"/>
      <w:lang w:val="en-CA"/>
    </w:rPr>
  </w:style>
  <w:style w:type="paragraph" w:customStyle="1" w:styleId="Head1">
    <w:name w:val="Head 1"/>
    <w:basedOn w:val="Heading1"/>
    <w:autoRedefine/>
    <w:qFormat/>
    <w:rsid w:val="009104D0"/>
    <w:pPr>
      <w:numPr>
        <w:numId w:val="1"/>
      </w:numPr>
    </w:pPr>
  </w:style>
  <w:style w:type="paragraph" w:styleId="BodyText">
    <w:name w:val="Body Text"/>
    <w:basedOn w:val="Normal"/>
    <w:link w:val="BodyTextChar"/>
    <w:uiPriority w:val="99"/>
    <w:semiHidden/>
    <w:unhideWhenUsed/>
    <w:rsid w:val="00670983"/>
    <w:pPr>
      <w:spacing w:after="120"/>
    </w:pPr>
  </w:style>
  <w:style w:type="character" w:customStyle="1" w:styleId="BodyTextChar">
    <w:name w:val="Body Text Char"/>
    <w:basedOn w:val="DefaultParagraphFont"/>
    <w:link w:val="BodyText"/>
    <w:uiPriority w:val="99"/>
    <w:semiHidden/>
    <w:rsid w:val="00670983"/>
    <w:rPr>
      <w:rFonts w:ascii="Times New Roman" w:hAnsi="Times New Roman"/>
      <w:lang w:val="en-CA"/>
    </w:rPr>
  </w:style>
  <w:style w:type="paragraph" w:styleId="BalloonText">
    <w:name w:val="Balloon Text"/>
    <w:basedOn w:val="Normal"/>
    <w:link w:val="BalloonTextChar"/>
    <w:uiPriority w:val="99"/>
    <w:semiHidden/>
    <w:unhideWhenUsed/>
    <w:rsid w:val="00896A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3C"/>
    <w:rPr>
      <w:rFonts w:ascii="Lucida Grande" w:eastAsia="Calibri" w:hAnsi="Lucida Grande" w:cs="Lucida Grande"/>
      <w:sz w:val="18"/>
      <w:szCs w:val="18"/>
    </w:rPr>
  </w:style>
  <w:style w:type="paragraph" w:styleId="ListParagraph">
    <w:name w:val="List Paragraph"/>
    <w:basedOn w:val="Normal"/>
    <w:uiPriority w:val="34"/>
    <w:qFormat/>
    <w:rsid w:val="008234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DA"/>
    <w:pPr>
      <w:spacing w:after="200" w:line="480" w:lineRule="auto"/>
    </w:pPr>
    <w:rPr>
      <w:rFonts w:ascii="Times New Roman" w:eastAsia="Calibri" w:hAnsi="Times New Roman" w:cs="Times New Roman"/>
      <w:szCs w:val="22"/>
      <w:lang w:val="en-CA" w:eastAsia="en-US"/>
    </w:rPr>
  </w:style>
  <w:style w:type="paragraph" w:styleId="Heading1">
    <w:name w:val="heading 1"/>
    <w:basedOn w:val="Normal"/>
    <w:next w:val="Normal"/>
    <w:link w:val="Heading1Char"/>
    <w:autoRedefine/>
    <w:qFormat/>
    <w:rsid w:val="00AF6A2D"/>
    <w:pPr>
      <w:keepNext/>
      <w:keepLines/>
      <w:spacing w:before="480" w:line="240" w:lineRule="auto"/>
      <w:outlineLvl w:val="0"/>
    </w:pPr>
    <w:rPr>
      <w:rFonts w:ascii="Arial" w:eastAsiaTheme="majorEastAsia" w:hAnsi="Arial" w:cstheme="majorBidi"/>
      <w:b/>
      <w:bCs/>
      <w:sz w:val="28"/>
      <w:szCs w:val="32"/>
      <w:lang w:eastAsia="ja-JP"/>
    </w:rPr>
  </w:style>
  <w:style w:type="paragraph" w:styleId="Heading2">
    <w:name w:val="heading 2"/>
    <w:basedOn w:val="Normal"/>
    <w:next w:val="Normal"/>
    <w:link w:val="Heading2Char"/>
    <w:autoRedefine/>
    <w:uiPriority w:val="9"/>
    <w:unhideWhenUsed/>
    <w:qFormat/>
    <w:rsid w:val="00AF6A2D"/>
    <w:pPr>
      <w:keepNext/>
      <w:keepLines/>
      <w:spacing w:before="200" w:line="240" w:lineRule="auto"/>
      <w:outlineLvl w:val="1"/>
    </w:pPr>
    <w:rPr>
      <w:rFonts w:ascii="Arial" w:eastAsiaTheme="majorEastAsia" w:hAnsi="Arial" w:cstheme="majorBidi"/>
      <w:bCs/>
      <w:szCs w:val="28"/>
      <w:lang w:eastAsia="ja-JP"/>
    </w:rPr>
  </w:style>
  <w:style w:type="paragraph" w:styleId="Heading3">
    <w:name w:val="heading 3"/>
    <w:basedOn w:val="Normal"/>
    <w:next w:val="Normal"/>
    <w:link w:val="Heading3Char"/>
    <w:autoRedefine/>
    <w:uiPriority w:val="9"/>
    <w:unhideWhenUsed/>
    <w:qFormat/>
    <w:rsid w:val="00AF6A2D"/>
    <w:pPr>
      <w:keepNext/>
      <w:keepLines/>
      <w:spacing w:before="200" w:line="240" w:lineRule="auto"/>
      <w:ind w:firstLine="567"/>
      <w:outlineLvl w:val="2"/>
    </w:pPr>
    <w:rPr>
      <w:rFonts w:ascii="Arial" w:eastAsiaTheme="majorEastAsia" w:hAnsi="Arial" w:cstheme="majorBidi"/>
      <w:bCs/>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A2D"/>
    <w:rPr>
      <w:rFonts w:ascii="Arial" w:eastAsiaTheme="majorEastAsia" w:hAnsi="Arial" w:cstheme="majorBidi"/>
      <w:b/>
      <w:bCs/>
      <w:sz w:val="28"/>
      <w:szCs w:val="32"/>
      <w:lang w:val="en-CA"/>
    </w:rPr>
  </w:style>
  <w:style w:type="character" w:customStyle="1" w:styleId="Heading2Char">
    <w:name w:val="Heading 2 Char"/>
    <w:basedOn w:val="DefaultParagraphFont"/>
    <w:link w:val="Heading2"/>
    <w:uiPriority w:val="9"/>
    <w:rsid w:val="00AF6A2D"/>
    <w:rPr>
      <w:rFonts w:ascii="Arial" w:eastAsiaTheme="majorEastAsia" w:hAnsi="Arial" w:cstheme="majorBidi"/>
      <w:bCs/>
      <w:szCs w:val="28"/>
      <w:lang w:val="en-CA"/>
    </w:rPr>
  </w:style>
  <w:style w:type="character" w:customStyle="1" w:styleId="Heading3Char">
    <w:name w:val="Heading 3 Char"/>
    <w:basedOn w:val="DefaultParagraphFont"/>
    <w:link w:val="Heading3"/>
    <w:uiPriority w:val="9"/>
    <w:rsid w:val="00AF6A2D"/>
    <w:rPr>
      <w:rFonts w:ascii="Arial" w:eastAsiaTheme="majorEastAsia" w:hAnsi="Arial" w:cstheme="majorBidi"/>
      <w:bCs/>
      <w:lang w:val="en-CA"/>
    </w:rPr>
  </w:style>
  <w:style w:type="paragraph" w:styleId="FootnoteText">
    <w:name w:val="footnote text"/>
    <w:basedOn w:val="Normal"/>
    <w:link w:val="FootnoteTextChar"/>
    <w:autoRedefine/>
    <w:uiPriority w:val="99"/>
    <w:unhideWhenUsed/>
    <w:qFormat/>
    <w:rsid w:val="00AF6A2D"/>
    <w:pPr>
      <w:spacing w:after="0" w:line="240" w:lineRule="auto"/>
      <w:ind w:left="170" w:hanging="170"/>
    </w:pPr>
    <w:rPr>
      <w:rFonts w:eastAsiaTheme="minorHAnsi" w:cstheme="minorBidi"/>
      <w:sz w:val="20"/>
      <w:szCs w:val="24"/>
      <w:lang w:eastAsia="ja-JP"/>
    </w:rPr>
  </w:style>
  <w:style w:type="character" w:customStyle="1" w:styleId="FootnoteTextChar">
    <w:name w:val="Footnote Text Char"/>
    <w:basedOn w:val="DefaultParagraphFont"/>
    <w:link w:val="FootnoteText"/>
    <w:uiPriority w:val="99"/>
    <w:rsid w:val="00AF6A2D"/>
    <w:rPr>
      <w:rFonts w:ascii="Times New Roman" w:eastAsiaTheme="minorHAnsi" w:hAnsi="Times New Roman"/>
      <w:sz w:val="20"/>
      <w:lang w:val="en-CA"/>
    </w:rPr>
  </w:style>
  <w:style w:type="paragraph" w:customStyle="1" w:styleId="Head1">
    <w:name w:val="Head 1"/>
    <w:basedOn w:val="Heading1"/>
    <w:autoRedefine/>
    <w:qFormat/>
    <w:rsid w:val="009104D0"/>
    <w:pPr>
      <w:numPr>
        <w:numId w:val="1"/>
      </w:numPr>
    </w:pPr>
  </w:style>
  <w:style w:type="paragraph" w:styleId="BodyText">
    <w:name w:val="Body Text"/>
    <w:basedOn w:val="Normal"/>
    <w:link w:val="BodyTextChar"/>
    <w:uiPriority w:val="99"/>
    <w:semiHidden/>
    <w:unhideWhenUsed/>
    <w:rsid w:val="00670983"/>
    <w:pPr>
      <w:spacing w:after="120"/>
    </w:pPr>
  </w:style>
  <w:style w:type="character" w:customStyle="1" w:styleId="BodyTextChar">
    <w:name w:val="Body Text Char"/>
    <w:basedOn w:val="DefaultParagraphFont"/>
    <w:link w:val="BodyText"/>
    <w:uiPriority w:val="99"/>
    <w:semiHidden/>
    <w:rsid w:val="00670983"/>
    <w:rPr>
      <w:rFonts w:ascii="Times New Roman" w:hAnsi="Times New Roman"/>
      <w:lang w:val="en-CA"/>
    </w:rPr>
  </w:style>
  <w:style w:type="paragraph" w:styleId="BalloonText">
    <w:name w:val="Balloon Text"/>
    <w:basedOn w:val="Normal"/>
    <w:link w:val="BalloonTextChar"/>
    <w:uiPriority w:val="99"/>
    <w:semiHidden/>
    <w:unhideWhenUsed/>
    <w:rsid w:val="00896A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3C"/>
    <w:rPr>
      <w:rFonts w:ascii="Lucida Grande" w:eastAsia="Calibri" w:hAnsi="Lucida Grande" w:cs="Lucida Grande"/>
      <w:sz w:val="18"/>
      <w:szCs w:val="18"/>
    </w:rPr>
  </w:style>
  <w:style w:type="paragraph" w:styleId="ListParagraph">
    <w:name w:val="List Paragraph"/>
    <w:basedOn w:val="Normal"/>
    <w:uiPriority w:val="34"/>
    <w:qFormat/>
    <w:rsid w:val="00823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91043">
      <w:bodyDiv w:val="1"/>
      <w:marLeft w:val="0"/>
      <w:marRight w:val="0"/>
      <w:marTop w:val="0"/>
      <w:marBottom w:val="0"/>
      <w:divBdr>
        <w:top w:val="none" w:sz="0" w:space="0" w:color="auto"/>
        <w:left w:val="none" w:sz="0" w:space="0" w:color="auto"/>
        <w:bottom w:val="none" w:sz="0" w:space="0" w:color="auto"/>
        <w:right w:val="none" w:sz="0" w:space="0" w:color="auto"/>
      </w:divBdr>
    </w:div>
    <w:div w:id="1270159566">
      <w:bodyDiv w:val="1"/>
      <w:marLeft w:val="0"/>
      <w:marRight w:val="0"/>
      <w:marTop w:val="0"/>
      <w:marBottom w:val="0"/>
      <w:divBdr>
        <w:top w:val="none" w:sz="0" w:space="0" w:color="auto"/>
        <w:left w:val="none" w:sz="0" w:space="0" w:color="auto"/>
        <w:bottom w:val="none" w:sz="0" w:space="0" w:color="auto"/>
        <w:right w:val="none" w:sz="0" w:space="0" w:color="auto"/>
      </w:divBdr>
    </w:div>
    <w:div w:id="1440568417">
      <w:bodyDiv w:val="1"/>
      <w:marLeft w:val="0"/>
      <w:marRight w:val="0"/>
      <w:marTop w:val="0"/>
      <w:marBottom w:val="0"/>
      <w:divBdr>
        <w:top w:val="none" w:sz="0" w:space="0" w:color="auto"/>
        <w:left w:val="none" w:sz="0" w:space="0" w:color="auto"/>
        <w:bottom w:val="none" w:sz="0" w:space="0" w:color="auto"/>
        <w:right w:val="none" w:sz="0" w:space="0" w:color="auto"/>
      </w:divBdr>
    </w:div>
    <w:div w:id="1506676625">
      <w:bodyDiv w:val="1"/>
      <w:marLeft w:val="0"/>
      <w:marRight w:val="0"/>
      <w:marTop w:val="0"/>
      <w:marBottom w:val="0"/>
      <w:divBdr>
        <w:top w:val="none" w:sz="0" w:space="0" w:color="auto"/>
        <w:left w:val="none" w:sz="0" w:space="0" w:color="auto"/>
        <w:bottom w:val="none" w:sz="0" w:space="0" w:color="auto"/>
        <w:right w:val="none" w:sz="0" w:space="0" w:color="auto"/>
      </w:divBdr>
    </w:div>
    <w:div w:id="1588273590">
      <w:bodyDiv w:val="1"/>
      <w:marLeft w:val="0"/>
      <w:marRight w:val="0"/>
      <w:marTop w:val="0"/>
      <w:marBottom w:val="0"/>
      <w:divBdr>
        <w:top w:val="none" w:sz="0" w:space="0" w:color="auto"/>
        <w:left w:val="none" w:sz="0" w:space="0" w:color="auto"/>
        <w:bottom w:val="none" w:sz="0" w:space="0" w:color="auto"/>
        <w:right w:val="none" w:sz="0" w:space="0" w:color="auto"/>
      </w:divBdr>
    </w:div>
    <w:div w:id="1924603478">
      <w:bodyDiv w:val="1"/>
      <w:marLeft w:val="0"/>
      <w:marRight w:val="0"/>
      <w:marTop w:val="0"/>
      <w:marBottom w:val="0"/>
      <w:divBdr>
        <w:top w:val="none" w:sz="0" w:space="0" w:color="auto"/>
        <w:left w:val="none" w:sz="0" w:space="0" w:color="auto"/>
        <w:bottom w:val="none" w:sz="0" w:space="0" w:color="auto"/>
        <w:right w:val="none" w:sz="0" w:space="0" w:color="auto"/>
      </w:divBdr>
    </w:div>
    <w:div w:id="2137870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AFA0-DB63-4143-9B36-3BB688D16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Tsafrir Gazit</dc:creator>
  <cp:lastModifiedBy>apostle</cp:lastModifiedBy>
  <cp:revision>3</cp:revision>
  <cp:lastPrinted>2013-11-28T17:12:00Z</cp:lastPrinted>
  <dcterms:created xsi:type="dcterms:W3CDTF">2013-11-28T17:29:00Z</dcterms:created>
  <dcterms:modified xsi:type="dcterms:W3CDTF">2013-11-28T17:35:00Z</dcterms:modified>
</cp:coreProperties>
</file>